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8FC" w14:textId="2D557384" w:rsidR="00D01670" w:rsidRPr="00B53629" w:rsidRDefault="00D07F01" w:rsidP="005C43BC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2023-24 </w:t>
      </w:r>
      <w:r w:rsidR="00D40F28" w:rsidRPr="00B53629">
        <w:rPr>
          <w:rFonts w:ascii="Arial" w:hAnsi="Arial" w:cs="Arial"/>
          <w:b/>
          <w:bCs/>
          <w:sz w:val="28"/>
          <w:szCs w:val="28"/>
        </w:rPr>
        <w:t>Community Homelessness Report:</w:t>
      </w:r>
      <w:r w:rsidR="00AC20EB">
        <w:rPr>
          <w:rFonts w:ascii="Arial" w:hAnsi="Arial" w:cs="Arial"/>
          <w:b/>
          <w:bCs/>
          <w:sz w:val="28"/>
          <w:szCs w:val="28"/>
        </w:rPr>
        <w:br/>
      </w:r>
      <w:bookmarkStart w:id="0" w:name="_Hlk158734464"/>
      <w:r w:rsidR="0046584D">
        <w:rPr>
          <w:rFonts w:ascii="Arial" w:hAnsi="Arial" w:cs="Arial"/>
          <w:b/>
          <w:bCs/>
          <w:sz w:val="28"/>
          <w:szCs w:val="28"/>
        </w:rPr>
        <w:t>Indigenous Partners in Your Community</w:t>
      </w:r>
      <w:bookmarkEnd w:id="0"/>
      <w:r>
        <w:rPr>
          <w:rFonts w:ascii="Arial" w:hAnsi="Arial" w:cs="Arial"/>
          <w:b/>
          <w:bCs/>
          <w:sz w:val="28"/>
          <w:szCs w:val="28"/>
        </w:rPr>
        <w:t xml:space="preserve"> Worksheet</w:t>
      </w:r>
    </w:p>
    <w:p w14:paraId="651CDE77" w14:textId="0F92DBEE" w:rsidR="00D40F28" w:rsidRPr="00D40F28" w:rsidRDefault="00D40F28" w:rsidP="005C43BC">
      <w:pPr>
        <w:spacing w:before="240" w:after="120"/>
        <w:rPr>
          <w:rFonts w:ascii="Arial" w:eastAsia="Adobe Gothic Std B" w:hAnsi="Arial" w:cs="Arial"/>
          <w:b/>
        </w:rPr>
      </w:pPr>
      <w:r w:rsidRPr="00D40F28">
        <w:rPr>
          <w:rFonts w:ascii="Arial" w:eastAsia="Adobe Gothic Std B" w:hAnsi="Arial" w:cs="Arial"/>
          <w:b/>
        </w:rPr>
        <w:t>What is this worksheet?</w:t>
      </w:r>
    </w:p>
    <w:p w14:paraId="327AA091" w14:textId="23BDC47D" w:rsidR="004A17BD" w:rsidRDefault="00370588" w:rsidP="00AC20EB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Cs/>
        </w:rPr>
        <w:t xml:space="preserve">This worksheet is </w:t>
      </w:r>
      <w:r w:rsidR="00AB0EDA">
        <w:rPr>
          <w:rFonts w:ascii="Arial" w:eastAsia="Adobe Gothic Std B" w:hAnsi="Arial" w:cs="Arial"/>
          <w:bCs/>
        </w:rPr>
        <w:t xml:space="preserve">an optional tool </w:t>
      </w:r>
      <w:r>
        <w:rPr>
          <w:rFonts w:ascii="Arial" w:eastAsia="Adobe Gothic Std B" w:hAnsi="Arial" w:cs="Arial"/>
          <w:bCs/>
        </w:rPr>
        <w:t xml:space="preserve">designed to assist </w:t>
      </w:r>
      <w:r w:rsidR="00AB0EDA">
        <w:rPr>
          <w:rFonts w:ascii="Arial" w:eastAsia="Adobe Gothic Std B" w:hAnsi="Arial" w:cs="Arial"/>
          <w:bCs/>
        </w:rPr>
        <w:t>communities</w:t>
      </w:r>
      <w:r>
        <w:rPr>
          <w:rFonts w:ascii="Arial" w:eastAsia="Adobe Gothic Std B" w:hAnsi="Arial" w:cs="Arial"/>
          <w:bCs/>
        </w:rPr>
        <w:t xml:space="preserve"> with </w:t>
      </w:r>
      <w:r w:rsidR="009E739F">
        <w:rPr>
          <w:rFonts w:ascii="Arial" w:eastAsia="Adobe Gothic Std B" w:hAnsi="Arial" w:cs="Arial"/>
          <w:bCs/>
        </w:rPr>
        <w:t xml:space="preserve">answering questions </w:t>
      </w:r>
      <w:r w:rsidR="00322D03">
        <w:rPr>
          <w:rFonts w:ascii="Arial" w:eastAsia="Adobe Gothic Std B" w:hAnsi="Arial" w:cs="Arial"/>
          <w:bCs/>
        </w:rPr>
        <w:t>1.</w:t>
      </w:r>
      <w:r w:rsidR="007F07A9">
        <w:rPr>
          <w:rFonts w:ascii="Arial" w:eastAsia="Adobe Gothic Std B" w:hAnsi="Arial" w:cs="Arial"/>
          <w:bCs/>
        </w:rPr>
        <w:t>4</w:t>
      </w:r>
      <w:r w:rsidR="00322D03">
        <w:rPr>
          <w:rFonts w:ascii="Arial" w:eastAsia="Adobe Gothic Std B" w:hAnsi="Arial" w:cs="Arial"/>
          <w:bCs/>
        </w:rPr>
        <w:t xml:space="preserve"> </w:t>
      </w:r>
      <w:r w:rsidR="000723E2">
        <w:rPr>
          <w:rFonts w:ascii="Arial" w:eastAsia="Adobe Gothic Std B" w:hAnsi="Arial" w:cs="Arial"/>
          <w:bCs/>
        </w:rPr>
        <w:t>to</w:t>
      </w:r>
      <w:r w:rsidR="00322D03">
        <w:rPr>
          <w:rFonts w:ascii="Arial" w:eastAsia="Adobe Gothic Std B" w:hAnsi="Arial" w:cs="Arial"/>
          <w:bCs/>
        </w:rPr>
        <w:t xml:space="preserve"> 1.6</w:t>
      </w:r>
      <w:r w:rsidR="0055087E" w:rsidRPr="0055087E">
        <w:rPr>
          <w:rFonts w:ascii="Arial" w:eastAsia="Adobe Gothic Std B" w:hAnsi="Arial" w:cs="Arial"/>
          <w:b/>
        </w:rPr>
        <w:t xml:space="preserve"> </w:t>
      </w:r>
      <w:r w:rsidR="00A14B72">
        <w:rPr>
          <w:rFonts w:ascii="Arial" w:eastAsia="Adobe Gothic Std B" w:hAnsi="Arial" w:cs="Arial"/>
          <w:bCs/>
        </w:rPr>
        <w:t>of</w:t>
      </w:r>
      <w:r w:rsidR="0055087E">
        <w:rPr>
          <w:rFonts w:ascii="Arial" w:eastAsia="Adobe Gothic Std B" w:hAnsi="Arial" w:cs="Arial"/>
          <w:bCs/>
        </w:rPr>
        <w:t xml:space="preserve"> </w:t>
      </w:r>
      <w:r w:rsidR="001B3A97">
        <w:rPr>
          <w:rFonts w:ascii="Arial" w:eastAsia="Adobe Gothic Std B" w:hAnsi="Arial" w:cs="Arial"/>
          <w:bCs/>
        </w:rPr>
        <w:t xml:space="preserve">their </w:t>
      </w:r>
      <w:r w:rsidR="004A17BD">
        <w:rPr>
          <w:rFonts w:ascii="Arial" w:eastAsia="Adobe Gothic Std B" w:hAnsi="Arial" w:cs="Arial"/>
          <w:bCs/>
        </w:rPr>
        <w:t>202</w:t>
      </w:r>
      <w:r w:rsidR="007460FE">
        <w:rPr>
          <w:rFonts w:ascii="Arial" w:eastAsia="Adobe Gothic Std B" w:hAnsi="Arial" w:cs="Arial"/>
          <w:bCs/>
        </w:rPr>
        <w:t>3-24</w:t>
      </w:r>
      <w:r w:rsidR="004A17BD">
        <w:rPr>
          <w:rFonts w:ascii="Arial" w:eastAsia="Adobe Gothic Std B" w:hAnsi="Arial" w:cs="Arial"/>
          <w:bCs/>
        </w:rPr>
        <w:t xml:space="preserve"> </w:t>
      </w:r>
      <w:r w:rsidR="005E6D8E" w:rsidRPr="005E6D8E">
        <w:rPr>
          <w:rFonts w:ascii="Arial" w:eastAsia="Adobe Gothic Std B" w:hAnsi="Arial" w:cs="Arial"/>
          <w:bCs/>
        </w:rPr>
        <w:t>Community Homelessness Report</w:t>
      </w:r>
      <w:r w:rsidR="00D40F28">
        <w:rPr>
          <w:rFonts w:ascii="Arial" w:eastAsia="Adobe Gothic Std B" w:hAnsi="Arial" w:cs="Arial"/>
          <w:bCs/>
        </w:rPr>
        <w:t xml:space="preserve"> (CHR)</w:t>
      </w:r>
      <w:r w:rsidR="005C43BC">
        <w:rPr>
          <w:rFonts w:ascii="Arial" w:eastAsia="Adobe Gothic Std B" w:hAnsi="Arial" w:cs="Arial"/>
          <w:bCs/>
        </w:rPr>
        <w:t xml:space="preserve"> on collaboration between Indigenous and non-Indigenous partners</w:t>
      </w:r>
      <w:r w:rsidR="004A17BD">
        <w:rPr>
          <w:rFonts w:ascii="Arial" w:eastAsia="Adobe Gothic Std B" w:hAnsi="Arial" w:cs="Arial"/>
          <w:bCs/>
        </w:rPr>
        <w:t xml:space="preserve">. </w:t>
      </w:r>
      <w:r w:rsidR="00AF6434">
        <w:rPr>
          <w:rFonts w:ascii="Arial" w:eastAsia="Adobe Gothic Std B" w:hAnsi="Arial" w:cs="Arial"/>
        </w:rPr>
        <w:t xml:space="preserve">The worksheet is optional and included in </w:t>
      </w:r>
      <w:r w:rsidR="00AF6434" w:rsidRPr="00AF6434">
        <w:rPr>
          <w:rFonts w:ascii="Arial" w:eastAsia="Adobe Gothic Std B" w:hAnsi="Arial" w:cs="Arial"/>
          <w:b/>
          <w:bCs/>
        </w:rPr>
        <w:t>Annex A</w:t>
      </w:r>
      <w:r w:rsidR="007460FE">
        <w:rPr>
          <w:rFonts w:ascii="Arial" w:eastAsia="Adobe Gothic Std B" w:hAnsi="Arial" w:cs="Arial"/>
          <w:b/>
          <w:bCs/>
        </w:rPr>
        <w:t xml:space="preserve"> </w:t>
      </w:r>
      <w:r w:rsidR="007460FE" w:rsidRPr="007F07A9">
        <w:rPr>
          <w:rFonts w:ascii="Arial" w:eastAsia="Adobe Gothic Std B" w:hAnsi="Arial" w:cs="Arial"/>
        </w:rPr>
        <w:t>below</w:t>
      </w:r>
      <w:r w:rsidR="00AF6434">
        <w:rPr>
          <w:rFonts w:ascii="Arial" w:eastAsia="Adobe Gothic Std B" w:hAnsi="Arial" w:cs="Arial"/>
        </w:rPr>
        <w:t>.</w:t>
      </w:r>
    </w:p>
    <w:p w14:paraId="5B9E1924" w14:textId="504AC14D" w:rsidR="009E4476" w:rsidRDefault="002D0C91" w:rsidP="005C43BC">
      <w:pPr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t>What is the purpose of this tool?</w:t>
      </w:r>
    </w:p>
    <w:p w14:paraId="5EE67832" w14:textId="3EF7199B" w:rsidR="00AF6434" w:rsidRDefault="00AF6434" w:rsidP="00AC20EB">
      <w:pPr>
        <w:spacing w:after="120"/>
        <w:rPr>
          <w:rFonts w:ascii="Arial" w:eastAsia="Adobe Gothic Std B" w:hAnsi="Arial" w:cs="Arial"/>
        </w:rPr>
      </w:pPr>
      <w:r w:rsidRPr="006823FE">
        <w:rPr>
          <w:rFonts w:ascii="Arial" w:eastAsia="Adobe Gothic Std B" w:hAnsi="Arial" w:cs="Arial"/>
        </w:rPr>
        <w:t xml:space="preserve">The purpose of this tool is to support communities </w:t>
      </w:r>
      <w:r w:rsidR="00B90AB8" w:rsidRPr="006823FE">
        <w:rPr>
          <w:rFonts w:ascii="Arial" w:eastAsia="Adobe Gothic Std B" w:hAnsi="Arial" w:cs="Arial"/>
        </w:rPr>
        <w:t xml:space="preserve">in identifying </w:t>
      </w:r>
      <w:r w:rsidR="000723E2" w:rsidRPr="000723E2">
        <w:rPr>
          <w:rFonts w:ascii="Arial" w:eastAsia="Adobe Gothic Std B" w:hAnsi="Arial" w:cs="Arial"/>
        </w:rPr>
        <w:t xml:space="preserve">local </w:t>
      </w:r>
      <w:r w:rsidR="00B90AB8" w:rsidRPr="006823FE">
        <w:rPr>
          <w:rFonts w:ascii="Arial" w:eastAsia="Adobe Gothic Std B" w:hAnsi="Arial" w:cs="Arial"/>
        </w:rPr>
        <w:t xml:space="preserve">Indigenous </w:t>
      </w:r>
      <w:r w:rsidR="000723E2" w:rsidRPr="000723E2">
        <w:rPr>
          <w:rFonts w:ascii="Arial" w:eastAsia="Adobe Gothic Std B" w:hAnsi="Arial" w:cs="Arial"/>
        </w:rPr>
        <w:t>p</w:t>
      </w:r>
      <w:r w:rsidR="00B90AB8" w:rsidRPr="006823FE">
        <w:rPr>
          <w:rFonts w:ascii="Arial" w:eastAsia="Adobe Gothic Std B" w:hAnsi="Arial" w:cs="Arial"/>
        </w:rPr>
        <w:t>artners</w:t>
      </w:r>
      <w:r w:rsidR="005C43BC">
        <w:rPr>
          <w:rFonts w:ascii="Arial" w:eastAsia="Adobe Gothic Std B" w:hAnsi="Arial" w:cs="Arial"/>
        </w:rPr>
        <w:t xml:space="preserve">, as well as </w:t>
      </w:r>
      <w:r w:rsidR="004A3BAA" w:rsidRPr="006823FE">
        <w:rPr>
          <w:rFonts w:ascii="Arial" w:eastAsia="Adobe Gothic Std B" w:hAnsi="Arial" w:cs="Arial"/>
        </w:rPr>
        <w:t xml:space="preserve">reflecting on </w:t>
      </w:r>
      <w:r w:rsidR="0045333D">
        <w:rPr>
          <w:rFonts w:ascii="Arial" w:eastAsia="Adobe Gothic Std B" w:hAnsi="Arial" w:cs="Arial"/>
        </w:rPr>
        <w:t xml:space="preserve">meaningful </w:t>
      </w:r>
      <w:r w:rsidR="004A3BAA" w:rsidRPr="006823FE">
        <w:rPr>
          <w:rFonts w:ascii="Arial" w:eastAsia="Adobe Gothic Std B" w:hAnsi="Arial" w:cs="Arial"/>
        </w:rPr>
        <w:t xml:space="preserve">collaboration </w:t>
      </w:r>
      <w:r w:rsidR="005C43BC">
        <w:rPr>
          <w:rFonts w:ascii="Arial" w:eastAsia="Adobe Gothic Std B" w:hAnsi="Arial" w:cs="Arial"/>
        </w:rPr>
        <w:t>in the context of Reaching Home implementation</w:t>
      </w:r>
      <w:r w:rsidR="004A3BAA" w:rsidRPr="006823FE">
        <w:rPr>
          <w:rFonts w:ascii="Arial" w:eastAsia="Adobe Gothic Std B" w:hAnsi="Arial" w:cs="Arial"/>
        </w:rPr>
        <w:t>.</w:t>
      </w:r>
    </w:p>
    <w:p w14:paraId="3986273A" w14:textId="1A716F3E" w:rsidR="00B4211E" w:rsidRPr="005C43BC" w:rsidRDefault="00B4211E" w:rsidP="005C43BC">
      <w:pPr>
        <w:spacing w:after="120"/>
        <w:rPr>
          <w:rFonts w:ascii="Arial" w:eastAsia="Adobe Gothic Std B" w:hAnsi="Arial" w:cs="Arial"/>
        </w:rPr>
      </w:pPr>
      <w:r w:rsidRPr="005C43BC">
        <w:rPr>
          <w:rFonts w:ascii="Arial" w:eastAsia="Adobe Gothic Std B" w:hAnsi="Arial" w:cs="Arial"/>
        </w:rPr>
        <w:t xml:space="preserve">As mentioned in the </w:t>
      </w:r>
      <w:hyperlink r:id="rId11" w:history="1">
        <w:r w:rsidRPr="00F356EE">
          <w:rPr>
            <w:rStyle w:val="Hyperlink"/>
            <w:rFonts w:ascii="Arial" w:eastAsia="Adobe Gothic Std B" w:hAnsi="Arial" w:cs="Arial"/>
          </w:rPr>
          <w:t>CHR Reference Guide</w:t>
        </w:r>
        <w:r w:rsidR="00CA4308" w:rsidRPr="00F356EE">
          <w:rPr>
            <w:rStyle w:val="Hyperlink"/>
            <w:rFonts w:ascii="Arial" w:eastAsia="Adobe Gothic Std B" w:hAnsi="Arial" w:cs="Arial"/>
          </w:rPr>
          <w:t xml:space="preserve"> on the Homel</w:t>
        </w:r>
        <w:r w:rsidR="00CA4308" w:rsidRPr="00F356EE">
          <w:rPr>
            <w:rStyle w:val="Hyperlink"/>
            <w:rFonts w:ascii="Arial" w:eastAsia="Adobe Gothic Std B" w:hAnsi="Arial" w:cs="Arial"/>
          </w:rPr>
          <w:t>e</w:t>
        </w:r>
        <w:r w:rsidR="00CA4308" w:rsidRPr="00F356EE">
          <w:rPr>
            <w:rStyle w:val="Hyperlink"/>
            <w:rFonts w:ascii="Arial" w:eastAsia="Adobe Gothic Std B" w:hAnsi="Arial" w:cs="Arial"/>
          </w:rPr>
          <w:t>ssness Learning Hub CHR reporting tools e-course</w:t>
        </w:r>
      </w:hyperlink>
      <w:r w:rsidRPr="005C43BC">
        <w:rPr>
          <w:rFonts w:ascii="Arial" w:eastAsia="Adobe Gothic Std B" w:hAnsi="Arial" w:cs="Arial"/>
        </w:rPr>
        <w:t>:</w:t>
      </w:r>
    </w:p>
    <w:p w14:paraId="4DF08B18" w14:textId="7FE648CF" w:rsidR="00B4211E" w:rsidRPr="00B4211E" w:rsidRDefault="00B4211E" w:rsidP="00AC20EB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/>
          <w:noProof/>
        </w:rPr>
        <mc:AlternateContent>
          <mc:Choice Requires="wps">
            <w:drawing>
              <wp:inline distT="0" distB="0" distL="0" distR="0" wp14:anchorId="2C07C72C" wp14:editId="5C27722F">
                <wp:extent cx="8420100" cy="2162175"/>
                <wp:effectExtent l="0" t="0" r="19050" b="28575"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2162175"/>
                        </a:xfrm>
                        <a:prstGeom prst="roundRect">
                          <a:avLst>
                            <a:gd name="adj" fmla="val 1094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C95C6" w14:textId="4B0BE314" w:rsidR="00B4211E" w:rsidRPr="00827A5E" w:rsidRDefault="00B4211E" w:rsidP="00DD3D6E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In communities where only D</w:t>
                            </w:r>
                            <w:r w:rsidR="00B90AB8"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esignated Community (DC)</w:t>
                            </w:r>
                            <w:r w:rsidR="00615474"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or Territorial Homelessness (TH)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funding is available</w:t>
                            </w:r>
                            <w:r w:rsidR="005C43BC"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65AAAAD0" w14:textId="5C299678" w:rsidR="00B4211E" w:rsidRPr="00827A5E" w:rsidRDefault="00B4211E" w:rsidP="00DD3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</w:t>
                            </w:r>
                            <w:r w:rsidR="00B90AB8"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ommunity Entities </w:t>
                            </w:r>
                            <w:r w:rsidR="00DD3D6E"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(CEs)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are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expected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to engage with local Indigenous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partners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and to describe how they worked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collaboratively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in the development of the CHR;</w:t>
                            </w:r>
                          </w:p>
                          <w:p w14:paraId="5F67DE41" w14:textId="14815E2E" w:rsidR="00B4211E" w:rsidRPr="00827A5E" w:rsidRDefault="00B4211E" w:rsidP="00DD3D6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This collaboration should be an ongoing back-and-forth conversation, as opposed to a simple request for a final review and sign off</w:t>
                            </w:r>
                            <w:r w:rsidR="00B90AB8" w:rsidRPr="00827A5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62CD2674" w14:textId="14643E5B" w:rsidR="00B4211E" w:rsidRPr="00827A5E" w:rsidRDefault="00B4211E" w:rsidP="00DD3D6E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</w:pPr>
                            <w:r w:rsidRPr="00827A5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 xml:space="preserve">In communities that have both </w:t>
                            </w:r>
                            <w:r w:rsidR="00B90AB8" w:rsidRPr="00827A5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 xml:space="preserve">DC and Indigenous Homelessness (IH)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>funding streams:</w:t>
                            </w:r>
                          </w:p>
                          <w:p w14:paraId="542C3745" w14:textId="52E13254" w:rsidR="00B4211E" w:rsidRPr="00827A5E" w:rsidRDefault="00B4211E" w:rsidP="00827A5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While Coordinated Access implementation and the transition to an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utcomes-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ased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pproach are not requirements under the IH stream, DCs CEs are</w:t>
                            </w:r>
                            <w:r w:rsidR="00DD3D6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also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</w:rPr>
                              <w:t>expected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to collaborat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with Indigenous 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partners 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on these Reaching Home program elements</w:t>
                            </w:r>
                            <w:r w:rsidR="00827A5E"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Pr="00827A5E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</w:rPr>
                              <w:t xml:space="preserve"> as well as the CHR.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07C72C" id="Rectangle: Rounded Corners 96" o:spid="_x0000_s1026" style="width:663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" fillcolor="#e2efd9 [665]" strokecolor="#538135 [2409]" strokeweight="1.5pt">
                <v:stroke joinstyle="miter"/>
                <v:textbox>
                  <w:txbxContent>
                    <w:p w14:paraId="6A1C95C6" w14:textId="4B0BE314" w:rsidR="00B4211E" w:rsidRPr="00827A5E" w:rsidRDefault="00B4211E" w:rsidP="00DD3D6E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In communities where only D</w:t>
                      </w:r>
                      <w:r w:rsidR="00B90AB8"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esignated Community (DC)</w:t>
                      </w:r>
                      <w:r w:rsidR="00615474"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or Territorial Homelessness (TH)</w:t>
                      </w:r>
                      <w:r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funding is available</w:t>
                      </w:r>
                      <w:r w:rsidR="005C43BC"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65AAAAD0" w14:textId="5C299678" w:rsidR="00B4211E" w:rsidRPr="00827A5E" w:rsidRDefault="00B4211E" w:rsidP="00DD3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>C</w:t>
                      </w:r>
                      <w:r w:rsidR="00B90AB8"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ommunity Entities </w:t>
                      </w:r>
                      <w:r w:rsidR="00DD3D6E"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(CEs) </w:t>
                      </w: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are </w:t>
                      </w:r>
                      <w:r w:rsidR="00827A5E" w:rsidRPr="00827A5E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expected</w:t>
                      </w:r>
                      <w:r w:rsidR="00827A5E"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</w:t>
                      </w: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to engage with local Indigenous </w:t>
                      </w:r>
                      <w:r w:rsidR="00827A5E"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partners </w:t>
                      </w: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and to describe how they worked 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collaboratively</w:t>
                      </w: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in the development of the CHR;</w:t>
                      </w:r>
                    </w:p>
                    <w:p w14:paraId="5F67DE41" w14:textId="14815E2E" w:rsidR="00B4211E" w:rsidRPr="00827A5E" w:rsidRDefault="00B4211E" w:rsidP="00DD3D6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>This collaboration should be an ongoing back-and-forth conversation, as opposed to a simple request for a final review and sign off</w:t>
                      </w:r>
                      <w:r w:rsidR="00B90AB8" w:rsidRPr="00827A5E">
                        <w:rPr>
                          <w:rFonts w:ascii="Arial" w:eastAsia="Calibri" w:hAnsi="Arial" w:cs="Arial"/>
                          <w:color w:val="000000" w:themeColor="text1"/>
                        </w:rPr>
                        <w:t>.</w:t>
                      </w:r>
                    </w:p>
                    <w:p w14:paraId="62CD2674" w14:textId="14643E5B" w:rsidR="00B4211E" w:rsidRPr="00827A5E" w:rsidRDefault="00B4211E" w:rsidP="00DD3D6E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</w:pPr>
                      <w:r w:rsidRPr="00827A5E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 xml:space="preserve">In communities that have both </w:t>
                      </w:r>
                      <w:r w:rsidR="00B90AB8" w:rsidRPr="00827A5E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 xml:space="preserve">DC and Indigenous Homelessness (IH) </w:t>
                      </w:r>
                      <w:r w:rsidRPr="00827A5E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>funding streams:</w:t>
                      </w:r>
                    </w:p>
                    <w:p w14:paraId="542C3745" w14:textId="52E13254" w:rsidR="00B4211E" w:rsidRPr="00827A5E" w:rsidRDefault="00B4211E" w:rsidP="00827A5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While Coordinated Access implementation and the transition to an 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O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utcomes-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B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ased 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A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pproach are not requirements under the IH stream, DCs CEs are</w:t>
                      </w:r>
                      <w:r w:rsidR="00DD3D6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also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="00827A5E" w:rsidRPr="00827A5E">
                        <w:rPr>
                          <w:rFonts w:ascii="Arial" w:eastAsia="Calibri" w:hAnsi="Arial" w:cs="Arial"/>
                          <w:b/>
                          <w:color w:val="000000" w:themeColor="text1"/>
                        </w:rPr>
                        <w:t>expected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to collaborat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e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with Indigenous 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partners 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on these Reaching Home program elements</w:t>
                      </w:r>
                      <w:r w:rsidR="00827A5E"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>,</w:t>
                      </w:r>
                      <w:r w:rsidRPr="00827A5E">
                        <w:rPr>
                          <w:rFonts w:ascii="Arial" w:eastAsia="Calibri" w:hAnsi="Arial" w:cs="Arial"/>
                          <w:bCs/>
                          <w:color w:val="000000" w:themeColor="text1"/>
                        </w:rPr>
                        <w:t xml:space="preserve"> as well as the CHR.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16A064" w14:textId="70F6FA63" w:rsidR="002D0C91" w:rsidRDefault="002D0C91" w:rsidP="005C43BC">
      <w:pPr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t>Who can complete this tool?</w:t>
      </w:r>
    </w:p>
    <w:p w14:paraId="446CF15D" w14:textId="69D5FCCF" w:rsidR="00AF6434" w:rsidRPr="00AF6434" w:rsidRDefault="00AF6434" w:rsidP="00AC20EB">
      <w:pPr>
        <w:spacing w:after="120"/>
        <w:rPr>
          <w:rFonts w:ascii="Arial" w:eastAsia="Adobe Gothic Std B" w:hAnsi="Arial" w:cs="Arial"/>
        </w:rPr>
      </w:pPr>
      <w:r w:rsidRPr="00FB2F3E">
        <w:rPr>
          <w:rFonts w:ascii="Arial" w:eastAsia="Adobe Gothic Std B" w:hAnsi="Arial" w:cs="Arial"/>
        </w:rPr>
        <w:t xml:space="preserve">Any community can use this worksheet to help them identify local Indigenous </w:t>
      </w:r>
      <w:r w:rsidR="00AC20EB" w:rsidRPr="00FB2F3E">
        <w:rPr>
          <w:rFonts w:ascii="Arial" w:eastAsia="Adobe Gothic Std B" w:hAnsi="Arial" w:cs="Arial"/>
        </w:rPr>
        <w:t>p</w:t>
      </w:r>
      <w:r w:rsidRPr="00FB2F3E">
        <w:rPr>
          <w:rFonts w:ascii="Arial" w:eastAsia="Adobe Gothic Std B" w:hAnsi="Arial" w:cs="Arial"/>
        </w:rPr>
        <w:t>artners</w:t>
      </w:r>
      <w:r w:rsidR="00FB2F3E" w:rsidRPr="00FB2F3E">
        <w:rPr>
          <w:rFonts w:ascii="Arial" w:eastAsia="Adobe Gothic Std B" w:hAnsi="Arial" w:cs="Arial"/>
        </w:rPr>
        <w:t xml:space="preserve"> and reflect on </w:t>
      </w:r>
      <w:r w:rsidR="005E6176">
        <w:rPr>
          <w:rFonts w:ascii="Arial" w:eastAsia="Adobe Gothic Std B" w:hAnsi="Arial" w:cs="Arial"/>
        </w:rPr>
        <w:t xml:space="preserve">meaningful </w:t>
      </w:r>
      <w:r w:rsidR="00FB2F3E" w:rsidRPr="00FB2F3E">
        <w:rPr>
          <w:rFonts w:ascii="Arial" w:eastAsia="Adobe Gothic Std B" w:hAnsi="Arial" w:cs="Arial"/>
        </w:rPr>
        <w:t>collaboration</w:t>
      </w:r>
      <w:r w:rsidRPr="00FB2F3E">
        <w:rPr>
          <w:rFonts w:ascii="Arial" w:eastAsia="Adobe Gothic Std B" w:hAnsi="Arial" w:cs="Arial"/>
        </w:rPr>
        <w:t xml:space="preserve">. That being said, the worksheet was developed specifically for </w:t>
      </w:r>
      <w:r w:rsidR="00D07F01">
        <w:rPr>
          <w:rFonts w:ascii="Arial" w:eastAsia="Adobe Gothic Std B" w:hAnsi="Arial" w:cs="Arial"/>
        </w:rPr>
        <w:t>Community Entities (</w:t>
      </w:r>
      <w:r w:rsidR="00FB2F3E">
        <w:rPr>
          <w:rFonts w:ascii="Arial" w:eastAsia="Adobe Gothic Std B" w:hAnsi="Arial" w:cs="Arial"/>
        </w:rPr>
        <w:t>CEs</w:t>
      </w:r>
      <w:r w:rsidR="00D07F01">
        <w:rPr>
          <w:rFonts w:ascii="Arial" w:eastAsia="Adobe Gothic Std B" w:hAnsi="Arial" w:cs="Arial"/>
        </w:rPr>
        <w:t>)</w:t>
      </w:r>
      <w:r w:rsidRPr="00FB2F3E">
        <w:rPr>
          <w:rFonts w:ascii="Arial" w:eastAsia="Adobe Gothic Std B" w:hAnsi="Arial" w:cs="Arial"/>
        </w:rPr>
        <w:t xml:space="preserve"> funded through the Designated Communities or Territorial Homelessness streams, to support them with completing their CHR.</w:t>
      </w:r>
    </w:p>
    <w:p w14:paraId="7E705254" w14:textId="36135E9F" w:rsidR="00AF6434" w:rsidRPr="002D0C91" w:rsidRDefault="002D0C91" w:rsidP="00827A5E">
      <w:pPr>
        <w:keepNext/>
        <w:spacing w:before="240" w:after="120"/>
        <w:rPr>
          <w:rFonts w:ascii="Arial" w:eastAsia="Adobe Gothic Std B" w:hAnsi="Arial" w:cs="Arial"/>
          <w:b/>
          <w:bCs/>
        </w:rPr>
      </w:pPr>
      <w:r w:rsidRPr="002D0C91">
        <w:rPr>
          <w:rFonts w:ascii="Arial" w:eastAsia="Adobe Gothic Std B" w:hAnsi="Arial" w:cs="Arial"/>
          <w:b/>
          <w:bCs/>
        </w:rPr>
        <w:lastRenderedPageBreak/>
        <w:t>Instructions for completing this worksheet</w:t>
      </w:r>
    </w:p>
    <w:p w14:paraId="77C00BD4" w14:textId="2847F948" w:rsidR="009E4476" w:rsidRDefault="00AF6434" w:rsidP="005C43BC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See below for guidance on how to complete this worksheet.</w:t>
      </w:r>
    </w:p>
    <w:p w14:paraId="736060E6" w14:textId="4227A1D6" w:rsidR="00B4211E" w:rsidRPr="008F7CC8" w:rsidRDefault="00B4211E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 w:rsidRPr="008F7CC8">
        <w:rPr>
          <w:rFonts w:ascii="Arial" w:eastAsia="Adobe Gothic Std B" w:hAnsi="Arial" w:cs="Arial"/>
        </w:rPr>
        <w:t xml:space="preserve">Download </w:t>
      </w:r>
      <w:r w:rsidR="00827A5E">
        <w:rPr>
          <w:rFonts w:ascii="Arial" w:eastAsia="Adobe Gothic Std B" w:hAnsi="Arial" w:cs="Arial"/>
        </w:rPr>
        <w:t>it</w:t>
      </w:r>
      <w:r w:rsidRPr="008F7CC8">
        <w:rPr>
          <w:rFonts w:ascii="Arial" w:eastAsia="Adobe Gothic Std B" w:hAnsi="Arial" w:cs="Arial"/>
        </w:rPr>
        <w:t xml:space="preserve"> from the CHR Reporting Tools e-course on the </w:t>
      </w:r>
      <w:hyperlink r:id="rId12" w:history="1">
        <w:r w:rsidRPr="008F7CC8">
          <w:rPr>
            <w:rStyle w:val="Hyperlink"/>
            <w:rFonts w:ascii="Arial" w:eastAsia="Adobe Gothic Std B" w:hAnsi="Arial" w:cs="Arial"/>
          </w:rPr>
          <w:t>Homelessness Learning Hub</w:t>
        </w:r>
      </w:hyperlink>
      <w:r w:rsidRPr="008F7CC8">
        <w:rPr>
          <w:rFonts w:ascii="Arial" w:eastAsia="Adobe Gothic Std B" w:hAnsi="Arial" w:cs="Arial"/>
        </w:rPr>
        <w:t>.</w:t>
      </w:r>
    </w:p>
    <w:p w14:paraId="21542224" w14:textId="68DB8DE8" w:rsidR="00A63C3F" w:rsidRDefault="00F8024B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 w:rsidRPr="00A63C3F">
        <w:rPr>
          <w:rFonts w:ascii="Arial" w:eastAsia="Adobe Gothic Std B" w:hAnsi="Arial" w:cs="Arial"/>
        </w:rPr>
        <w:t xml:space="preserve">Fill in </w:t>
      </w:r>
      <w:r w:rsidR="00A63C3F" w:rsidRPr="00A63C3F">
        <w:rPr>
          <w:rFonts w:ascii="Arial" w:eastAsia="Adobe Gothic Std B" w:hAnsi="Arial" w:cs="Arial"/>
        </w:rPr>
        <w:t>the “</w:t>
      </w:r>
      <w:r w:rsidR="00A63C3F" w:rsidRPr="007F07A9">
        <w:rPr>
          <w:rFonts w:ascii="Arial" w:eastAsia="Adobe Gothic Std B" w:hAnsi="Arial" w:cs="Arial"/>
          <w:b/>
          <w:bCs/>
        </w:rPr>
        <w:t>Community reflections</w:t>
      </w:r>
      <w:r w:rsidR="00A63C3F" w:rsidRPr="00A63C3F">
        <w:rPr>
          <w:rFonts w:ascii="Arial" w:eastAsia="Adobe Gothic Std B" w:hAnsi="Arial" w:cs="Arial"/>
        </w:rPr>
        <w:t xml:space="preserve">” column of the </w:t>
      </w:r>
      <w:r w:rsidR="00A63C3F" w:rsidRPr="007F07A9">
        <w:rPr>
          <w:rFonts w:ascii="Arial" w:eastAsia="Adobe Gothic Std B" w:hAnsi="Arial" w:cs="Arial"/>
          <w:b/>
          <w:bCs/>
        </w:rPr>
        <w:t>Part 1: Identifying Local Indigenous Partners</w:t>
      </w:r>
      <w:r w:rsidR="00A63C3F" w:rsidRPr="00A63C3F">
        <w:rPr>
          <w:rFonts w:ascii="Arial" w:eastAsia="Adobe Gothic Std B" w:hAnsi="Arial" w:cs="Arial"/>
        </w:rPr>
        <w:t xml:space="preserve"> table. </w:t>
      </w:r>
    </w:p>
    <w:p w14:paraId="49DFF0BF" w14:textId="6A266712" w:rsidR="00A63C3F" w:rsidRDefault="00A63C3F" w:rsidP="005C43BC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For each Indigenous partner identified in Part 1, complete the </w:t>
      </w:r>
      <w:r w:rsidRPr="007F07A9">
        <w:rPr>
          <w:rFonts w:ascii="Arial" w:eastAsia="Adobe Gothic Std B" w:hAnsi="Arial" w:cs="Arial"/>
          <w:b/>
          <w:bCs/>
        </w:rPr>
        <w:t xml:space="preserve">Part 2: Guidance on </w:t>
      </w:r>
      <w:r w:rsidR="005E47B9" w:rsidRPr="007F07A9">
        <w:rPr>
          <w:rFonts w:ascii="Arial" w:eastAsia="Adobe Gothic Std B" w:hAnsi="Arial" w:cs="Arial"/>
          <w:b/>
          <w:bCs/>
        </w:rPr>
        <w:t xml:space="preserve">Meaningful </w:t>
      </w:r>
      <w:r w:rsidRPr="007F07A9">
        <w:rPr>
          <w:rFonts w:ascii="Arial" w:eastAsia="Adobe Gothic Std B" w:hAnsi="Arial" w:cs="Arial"/>
          <w:b/>
          <w:bCs/>
        </w:rPr>
        <w:t>Collaboration</w:t>
      </w:r>
      <w:r>
        <w:rPr>
          <w:rFonts w:ascii="Arial" w:eastAsia="Adobe Gothic Std B" w:hAnsi="Arial" w:cs="Arial"/>
        </w:rPr>
        <w:t xml:space="preserve"> table. </w:t>
      </w:r>
    </w:p>
    <w:p w14:paraId="521E1A6F" w14:textId="7815DCE3" w:rsidR="00A63C3F" w:rsidRDefault="00A63C3F" w:rsidP="00A63C3F">
      <w:pPr>
        <w:pStyle w:val="ListParagraph"/>
        <w:numPr>
          <w:ilvl w:val="1"/>
          <w:numId w:val="11"/>
        </w:num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Complete (a) f</w:t>
      </w:r>
      <w:r w:rsidRPr="00A63C3F">
        <w:rPr>
          <w:rFonts w:ascii="Arial" w:eastAsia="Adobe Gothic Std B" w:hAnsi="Arial" w:cs="Arial"/>
        </w:rPr>
        <w:t xml:space="preserve">or each Indigenous partner where collaboration did occur.  </w:t>
      </w:r>
    </w:p>
    <w:p w14:paraId="79C7D9BC" w14:textId="16B14062" w:rsidR="00A63C3F" w:rsidRDefault="7C11F30A" w:rsidP="56DFAD2B">
      <w:pPr>
        <w:pStyle w:val="ListParagraph"/>
        <w:numPr>
          <w:ilvl w:val="1"/>
          <w:numId w:val="11"/>
        </w:numPr>
        <w:spacing w:after="120"/>
        <w:rPr>
          <w:rFonts w:ascii="Arial" w:eastAsia="Adobe Gothic Std B" w:hAnsi="Arial" w:cs="Arial"/>
        </w:rPr>
      </w:pPr>
      <w:r w:rsidRPr="56DFAD2B">
        <w:rPr>
          <w:rFonts w:ascii="Arial" w:eastAsia="Adobe Gothic Std B" w:hAnsi="Arial" w:cs="Arial"/>
        </w:rPr>
        <w:t xml:space="preserve">Complete (b) for each Indigenous partner where collaboration </w:t>
      </w:r>
      <w:r w:rsidR="4FDF239D" w:rsidRPr="56DFAD2B">
        <w:rPr>
          <w:rFonts w:ascii="Arial" w:eastAsia="Adobe Gothic Std B" w:hAnsi="Arial" w:cs="Arial"/>
        </w:rPr>
        <w:t xml:space="preserve"> /</w:t>
      </w:r>
      <w:r w:rsidRPr="56DFAD2B">
        <w:rPr>
          <w:rFonts w:ascii="Arial" w:eastAsia="Adobe Gothic Std B" w:hAnsi="Arial" w:cs="Arial"/>
        </w:rPr>
        <w:t xml:space="preserve"> did not occur, </w:t>
      </w:r>
      <w:r w:rsidRPr="007F07A9">
        <w:rPr>
          <w:rFonts w:ascii="Arial" w:eastAsia="Adobe Gothic Std B" w:hAnsi="Arial" w:cs="Arial"/>
          <w:b/>
          <w:bCs/>
        </w:rPr>
        <w:t>OR</w:t>
      </w:r>
      <w:r w:rsidRPr="56DFAD2B">
        <w:rPr>
          <w:rFonts w:ascii="Arial" w:eastAsia="Adobe Gothic Std B" w:hAnsi="Arial" w:cs="Arial"/>
        </w:rPr>
        <w:t xml:space="preserve"> if collaboration did not occur </w:t>
      </w:r>
      <w:r w:rsidR="5E397A18" w:rsidRPr="56DFAD2B">
        <w:rPr>
          <w:rFonts w:ascii="Arial" w:eastAsia="Adobe Gothic Std B" w:hAnsi="Arial" w:cs="Arial"/>
        </w:rPr>
        <w:t xml:space="preserve">with any partners </w:t>
      </w:r>
      <w:r w:rsidRPr="56DFAD2B">
        <w:rPr>
          <w:rFonts w:ascii="Arial" w:eastAsia="Adobe Gothic Std B" w:hAnsi="Arial" w:cs="Arial"/>
        </w:rPr>
        <w:t>at all</w:t>
      </w:r>
      <w:r w:rsidR="5E397A18" w:rsidRPr="56DFAD2B">
        <w:rPr>
          <w:rFonts w:ascii="Arial" w:eastAsia="Adobe Gothic Std B" w:hAnsi="Arial" w:cs="Arial"/>
        </w:rPr>
        <w:t>.</w:t>
      </w:r>
    </w:p>
    <w:p w14:paraId="121A1D27" w14:textId="6C9DE925" w:rsidR="00A63C3F" w:rsidRDefault="00A63C3F" w:rsidP="00A63C3F">
      <w:pPr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Once</w:t>
      </w:r>
      <w:r w:rsidRPr="008F7CC8">
        <w:rPr>
          <w:rFonts w:ascii="Arial" w:eastAsia="Adobe Gothic Std B" w:hAnsi="Arial" w:cs="Arial"/>
        </w:rPr>
        <w:t xml:space="preserve"> the worksheet has been completed, communities can </w:t>
      </w:r>
      <w:r>
        <w:rPr>
          <w:rFonts w:ascii="Arial" w:eastAsia="Adobe Gothic Std B" w:hAnsi="Arial" w:cs="Arial"/>
        </w:rPr>
        <w:t xml:space="preserve">record </w:t>
      </w:r>
      <w:r w:rsidRPr="008F7CC8">
        <w:rPr>
          <w:rFonts w:ascii="Arial" w:eastAsia="Adobe Gothic Std B" w:hAnsi="Arial" w:cs="Arial"/>
        </w:rPr>
        <w:t xml:space="preserve">their </w:t>
      </w:r>
      <w:r>
        <w:rPr>
          <w:rFonts w:ascii="Arial" w:eastAsia="Adobe Gothic Std B" w:hAnsi="Arial" w:cs="Arial"/>
        </w:rPr>
        <w:t>results</w:t>
      </w:r>
      <w:r w:rsidRPr="008F7CC8">
        <w:rPr>
          <w:rFonts w:ascii="Arial" w:eastAsia="Adobe Gothic Std B" w:hAnsi="Arial" w:cs="Arial"/>
        </w:rPr>
        <w:t xml:space="preserve"> in </w:t>
      </w:r>
      <w:r w:rsidRPr="007F07A9">
        <w:rPr>
          <w:rFonts w:ascii="Arial" w:eastAsia="Adobe Gothic Std B" w:hAnsi="Arial" w:cs="Arial"/>
          <w:b/>
          <w:bCs/>
        </w:rPr>
        <w:t>questions 1.</w:t>
      </w:r>
      <w:r w:rsidR="007F07A9">
        <w:rPr>
          <w:rFonts w:ascii="Arial" w:eastAsia="Adobe Gothic Std B" w:hAnsi="Arial" w:cs="Arial"/>
          <w:b/>
          <w:bCs/>
        </w:rPr>
        <w:t>4</w:t>
      </w:r>
      <w:r w:rsidRPr="007F07A9">
        <w:rPr>
          <w:rFonts w:ascii="Arial" w:eastAsia="Adobe Gothic Std B" w:hAnsi="Arial" w:cs="Arial"/>
          <w:b/>
          <w:bCs/>
        </w:rPr>
        <w:t xml:space="preserve"> to 1.6</w:t>
      </w:r>
      <w:r>
        <w:rPr>
          <w:rFonts w:ascii="Arial" w:eastAsia="Adobe Gothic Std B" w:hAnsi="Arial" w:cs="Arial"/>
        </w:rPr>
        <w:t xml:space="preserve"> of their CHR</w:t>
      </w:r>
      <w:r w:rsidRPr="008F7CC8">
        <w:rPr>
          <w:rFonts w:ascii="Arial" w:eastAsia="Adobe Gothic Std B" w:hAnsi="Arial" w:cs="Arial"/>
        </w:rPr>
        <w:t>.</w:t>
      </w:r>
      <w:r>
        <w:rPr>
          <w:rFonts w:ascii="Arial" w:eastAsia="Adobe Gothic Std B" w:hAnsi="Arial" w:cs="Arial"/>
        </w:rPr>
        <w:t xml:space="preserve"> More specifically:</w:t>
      </w:r>
    </w:p>
    <w:p w14:paraId="1CB08757" w14:textId="090D522F" w:rsidR="00EF7853" w:rsidRPr="00EF7853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aspects of</w:t>
      </w:r>
      <w:r>
        <w:rPr>
          <w:rFonts w:ascii="Arial" w:eastAsia="Adobe Gothic Std B" w:hAnsi="Arial" w:cs="Arial"/>
        </w:rPr>
        <w:t xml:space="preserve"> Coordinated Access </w:t>
      </w:r>
      <w:r w:rsidRPr="00EF7853">
        <w:rPr>
          <w:rFonts w:ascii="Arial" w:eastAsia="Adobe Gothic Std B" w:hAnsi="Arial" w:cs="Arial"/>
        </w:rPr>
        <w:t>the HMIS</w:t>
      </w:r>
      <w:r w:rsidR="007F07A9">
        <w:rPr>
          <w:rFonts w:ascii="Arial" w:eastAsia="Adobe Gothic Std B" w:hAnsi="Arial" w:cs="Arial"/>
        </w:rPr>
        <w:t>, and/</w:t>
      </w:r>
      <w:r w:rsidR="007F07A9" w:rsidRPr="00EF7853">
        <w:rPr>
          <w:rFonts w:ascii="Arial" w:eastAsia="Adobe Gothic Std B" w:hAnsi="Arial" w:cs="Arial"/>
        </w:rPr>
        <w:t>or</w:t>
      </w:r>
      <w:r w:rsidR="007F07A9">
        <w:rPr>
          <w:rFonts w:ascii="Arial" w:eastAsia="Adobe Gothic Std B" w:hAnsi="Arial" w:cs="Arial"/>
        </w:rPr>
        <w:t xml:space="preserve"> the Outcomes-Based Approach</w:t>
      </w:r>
      <w:r w:rsidRPr="00EF7853">
        <w:rPr>
          <w:rFonts w:ascii="Arial" w:eastAsia="Adobe Gothic Std B" w:hAnsi="Arial" w:cs="Arial"/>
        </w:rPr>
        <w:t xml:space="preserve"> were discussed with </w:t>
      </w:r>
      <w:r w:rsidR="007F07A9">
        <w:rPr>
          <w:rFonts w:ascii="Arial" w:eastAsia="Adobe Gothic Std B" w:hAnsi="Arial" w:cs="Arial"/>
        </w:rPr>
        <w:t>Indigenous partners</w:t>
      </w:r>
      <w:r>
        <w:rPr>
          <w:rFonts w:ascii="Arial" w:eastAsia="Adobe Gothic Std B" w:hAnsi="Arial" w:cs="Arial"/>
        </w:rPr>
        <w:t>, record your answers in question 1.</w:t>
      </w:r>
      <w:r w:rsidR="007F07A9">
        <w:rPr>
          <w:rFonts w:ascii="Arial" w:eastAsia="Adobe Gothic Std B" w:hAnsi="Arial" w:cs="Arial"/>
        </w:rPr>
        <w:t>4</w:t>
      </w:r>
      <w:r>
        <w:rPr>
          <w:rFonts w:ascii="Arial" w:eastAsia="Adobe Gothic Std B" w:hAnsi="Arial" w:cs="Arial"/>
        </w:rPr>
        <w:t xml:space="preserve">. </w:t>
      </w:r>
    </w:p>
    <w:p w14:paraId="598B95FD" w14:textId="611600B8" w:rsidR="00EF7853" w:rsidRPr="00EF7853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specific sections of the CHR were discussed with the IH CE and/or IH CAB</w:t>
      </w:r>
      <w:r>
        <w:rPr>
          <w:rFonts w:ascii="Arial" w:eastAsia="Adobe Gothic Std B" w:hAnsi="Arial" w:cs="Arial"/>
        </w:rPr>
        <w:t xml:space="preserve"> and/or </w:t>
      </w:r>
      <w:r w:rsidRPr="00EF7853">
        <w:rPr>
          <w:rFonts w:ascii="Arial" w:eastAsia="Adobe Gothic Std B" w:hAnsi="Arial" w:cs="Arial"/>
        </w:rPr>
        <w:t xml:space="preserve">other </w:t>
      </w:r>
      <w:r>
        <w:rPr>
          <w:rFonts w:ascii="Arial" w:eastAsia="Adobe Gothic Std B" w:hAnsi="Arial" w:cs="Arial"/>
        </w:rPr>
        <w:t xml:space="preserve">Indigenous </w:t>
      </w:r>
      <w:r w:rsidRPr="00EF7853">
        <w:rPr>
          <w:rFonts w:ascii="Arial" w:eastAsia="Adobe Gothic Std B" w:hAnsi="Arial" w:cs="Arial"/>
        </w:rPr>
        <w:t>partners</w:t>
      </w:r>
      <w:r>
        <w:rPr>
          <w:rFonts w:ascii="Arial" w:eastAsia="Adobe Gothic Std B" w:hAnsi="Arial" w:cs="Arial"/>
        </w:rPr>
        <w:t xml:space="preserve">, record your answer in question </w:t>
      </w:r>
      <w:r w:rsidRPr="00EF7853">
        <w:rPr>
          <w:rFonts w:ascii="Arial" w:eastAsia="Adobe Gothic Std B" w:hAnsi="Arial" w:cs="Arial"/>
        </w:rPr>
        <w:t>1.5.</w:t>
      </w:r>
    </w:p>
    <w:p w14:paraId="6B3C830A" w14:textId="0ED7C264" w:rsidR="00A63C3F" w:rsidRPr="00A63C3F" w:rsidRDefault="00EF7853" w:rsidP="00EF7853">
      <w:pPr>
        <w:pStyle w:val="ListParagraph"/>
        <w:numPr>
          <w:ilvl w:val="0"/>
          <w:numId w:val="14"/>
        </w:numPr>
        <w:spacing w:after="120"/>
        <w:rPr>
          <w:rFonts w:ascii="Arial" w:eastAsia="Adobe Gothic Std B" w:hAnsi="Arial" w:cs="Arial"/>
        </w:rPr>
      </w:pPr>
      <w:r w:rsidRPr="00EF7853">
        <w:rPr>
          <w:rFonts w:ascii="Arial" w:eastAsia="Adobe Gothic Std B" w:hAnsi="Arial" w:cs="Arial"/>
        </w:rPr>
        <w:t>Where approval of the IH CAB was received</w:t>
      </w:r>
      <w:r>
        <w:rPr>
          <w:rFonts w:ascii="Arial" w:eastAsia="Adobe Gothic Std B" w:hAnsi="Arial" w:cs="Arial"/>
        </w:rPr>
        <w:t xml:space="preserve"> on your CHR, record your answer in 1.6. </w:t>
      </w:r>
    </w:p>
    <w:p w14:paraId="638997A7" w14:textId="24267201" w:rsidR="00A63C3F" w:rsidRDefault="00A63C3F" w:rsidP="00BB2DFB">
      <w:pPr>
        <w:spacing w:after="120"/>
        <w:rPr>
          <w:rFonts w:ascii="Arial" w:eastAsia="Adobe Gothic Std B" w:hAnsi="Arial" w:cs="Arial"/>
        </w:rPr>
        <w:sectPr w:rsidR="00A63C3F" w:rsidSect="001F12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Adobe Gothic Std B" w:hAnsi="Arial" w:cs="Arial"/>
        </w:rPr>
        <w:t xml:space="preserve"> </w:t>
      </w:r>
      <w:r w:rsidR="00C71541">
        <w:rPr>
          <w:rFonts w:ascii="Arial" w:eastAsia="Adobe Gothic Std B" w:hAnsi="Arial" w:cs="Arial"/>
          <w:b/>
          <w:noProof/>
        </w:rPr>
        <mc:AlternateContent>
          <mc:Choice Requires="wps">
            <w:drawing>
              <wp:inline distT="0" distB="0" distL="0" distR="0" wp14:anchorId="23074EAD" wp14:editId="3D2E3AF9">
                <wp:extent cx="8229600" cy="2238375"/>
                <wp:effectExtent l="0" t="0" r="19050" b="28575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238375"/>
                        </a:xfrm>
                        <a:prstGeom prst="roundRect">
                          <a:avLst>
                            <a:gd name="adj" fmla="val 1162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1474D" w14:textId="4076FCB3" w:rsidR="00CA4308" w:rsidRPr="00CA4308" w:rsidRDefault="00C71541" w:rsidP="00CA4308">
                            <w:pPr>
                              <w:spacing w:after="120"/>
                              <w:contextualSpacing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In the </w:t>
                            </w:r>
                            <w:r w:rsid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CHR</w:t>
                            </w: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Reference Guide, </w:t>
                            </w:r>
                            <w:r w:rsidRPr="00D8370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meaningful collaboration</w:t>
                            </w: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between Indigenous and non-Indigenous partners refers to</w:t>
                            </w:r>
                            <w:r w:rsidR="00CA4308"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processes that:</w:t>
                            </w:r>
                          </w:p>
                          <w:p w14:paraId="7AFECDE7" w14:textId="77777777" w:rsidR="00615474" w:rsidRPr="00615474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Build relationships based on the principles of transparency and responsiveness;</w:t>
                            </w:r>
                          </w:p>
                          <w:p w14:paraId="1C2E007F" w14:textId="77777777" w:rsidR="00615474" w:rsidRPr="00615474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Acknowledge and respect the value and the resources involved in participating in collaborative exercises;</w:t>
                            </w:r>
                          </w:p>
                          <w:p w14:paraId="2BD5B911" w14:textId="77777777" w:rsidR="00615474" w:rsidRPr="00615474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Respect the unique rights, needs and preferences of Indigenous peoples in the community; </w:t>
                            </w:r>
                          </w:p>
                          <w:p w14:paraId="41298C1B" w14:textId="77777777" w:rsidR="00615474" w:rsidRPr="00615474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Are co-developed, culturally appropriate and inclusive of diverse perspectives across the community;</w:t>
                            </w:r>
                          </w:p>
                          <w:p w14:paraId="71F0B3DC" w14:textId="77777777" w:rsidR="00615474" w:rsidRPr="00615474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Incorporate Indigenous knowledge and expertise; and,</w:t>
                            </w:r>
                          </w:p>
                          <w:p w14:paraId="703D8463" w14:textId="3A30E6C6" w:rsidR="00CA4308" w:rsidRPr="00CA4308" w:rsidRDefault="00615474" w:rsidP="006154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contextualSpacing w:val="0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15474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Add value for Indigenous and non-Indigenous organizations and individuals alike.</w:t>
                            </w:r>
                          </w:p>
                          <w:p w14:paraId="402D82D7" w14:textId="71F05E10" w:rsidR="00CA4308" w:rsidRPr="009E4476" w:rsidRDefault="00CA4308" w:rsidP="00C71541">
                            <w:pPr>
                              <w:spacing w:after="120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A430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For more information, see the “Supporting collaboration between Indigenous and non-Indigenous partners” section of the CHR Reference Guide.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074EAD" id="Rectangle: Rounded Corners 1" o:spid="_x0000_s1027" style="width:9in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" fillcolor="#e2efd9 [665]" strokecolor="#538135 [2409]" strokeweight="1.5pt">
                <v:stroke joinstyle="miter"/>
                <v:textbox>
                  <w:txbxContent>
                    <w:p w14:paraId="2D01474D" w14:textId="4076FCB3" w:rsidR="00CA4308" w:rsidRPr="00CA4308" w:rsidRDefault="00C71541" w:rsidP="00CA4308">
                      <w:pPr>
                        <w:spacing w:after="120"/>
                        <w:contextualSpacing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In the </w:t>
                      </w:r>
                      <w:r w:rsid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CHR</w:t>
                      </w: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Reference Guide, </w:t>
                      </w:r>
                      <w:r w:rsidRPr="00D8370D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meaningful collaboration</w:t>
                      </w: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</w:t>
                      </w:r>
                      <w:r w:rsid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between Indigenous and non-Indigenous partners refers to</w:t>
                      </w:r>
                      <w:r w:rsidR="00CA4308"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processes that:</w:t>
                      </w:r>
                    </w:p>
                    <w:p w14:paraId="7AFECDE7" w14:textId="77777777" w:rsidR="00615474" w:rsidRPr="00615474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Build relationships based on the principles of transparency and responsiveness;</w:t>
                      </w:r>
                    </w:p>
                    <w:p w14:paraId="1C2E007F" w14:textId="77777777" w:rsidR="00615474" w:rsidRPr="00615474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Acknowledge and respect the value and the resources involved in participating in collaborative exercises;</w:t>
                      </w:r>
                    </w:p>
                    <w:p w14:paraId="2BD5B911" w14:textId="77777777" w:rsidR="00615474" w:rsidRPr="00615474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Respect the unique rights, needs and preferences of Indigenous peoples in the community; </w:t>
                      </w:r>
                    </w:p>
                    <w:p w14:paraId="41298C1B" w14:textId="77777777" w:rsidR="00615474" w:rsidRPr="00615474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Are co-developed, culturally appropriate and inclusive of diverse perspectives across the community;</w:t>
                      </w:r>
                    </w:p>
                    <w:p w14:paraId="71F0B3DC" w14:textId="77777777" w:rsidR="00615474" w:rsidRPr="00615474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Incorporate Indigenous knowledge and expertise; and,</w:t>
                      </w:r>
                    </w:p>
                    <w:p w14:paraId="703D8463" w14:textId="3A30E6C6" w:rsidR="00CA4308" w:rsidRPr="00CA4308" w:rsidRDefault="00615474" w:rsidP="006154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contextualSpacing w:val="0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15474">
                        <w:rPr>
                          <w:rFonts w:ascii="Arial" w:eastAsia="Calibri" w:hAnsi="Arial" w:cs="Arial"/>
                          <w:color w:val="000000" w:themeColor="text1"/>
                        </w:rPr>
                        <w:t>Add value for Indigenous and non-Indigenous organizations and individuals alike.</w:t>
                      </w:r>
                    </w:p>
                    <w:p w14:paraId="402D82D7" w14:textId="71F05E10" w:rsidR="00CA4308" w:rsidRPr="009E4476" w:rsidRDefault="00CA4308" w:rsidP="00C71541">
                      <w:pPr>
                        <w:spacing w:after="120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CA4308">
                        <w:rPr>
                          <w:rFonts w:ascii="Arial" w:eastAsia="Calibri" w:hAnsi="Arial" w:cs="Arial"/>
                          <w:color w:val="000000" w:themeColor="text1"/>
                        </w:rPr>
                        <w:t>For more information, see the “Supporting collaboration between Indigenous and non-Indigenous partners” section of the CHR Reference Guide.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57A9CD" w14:textId="1D45A200" w:rsidR="00935FC9" w:rsidRPr="00F10287" w:rsidRDefault="00AF6434" w:rsidP="00BB2DFB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10287">
        <w:rPr>
          <w:rFonts w:ascii="Arial" w:hAnsi="Arial" w:cs="Arial"/>
          <w:b/>
          <w:bCs/>
          <w:sz w:val="28"/>
          <w:szCs w:val="28"/>
        </w:rPr>
        <w:lastRenderedPageBreak/>
        <w:t>Annex A: The Worksheet</w:t>
      </w:r>
    </w:p>
    <w:p w14:paraId="561CA9C0" w14:textId="554195A4" w:rsidR="003A71A4" w:rsidRPr="00BB2DFB" w:rsidRDefault="00225B52" w:rsidP="00225B52">
      <w:pPr>
        <w:spacing w:before="240" w:after="120"/>
        <w:rPr>
          <w:rFonts w:ascii="Arial" w:hAnsi="Arial" w:cs="Arial"/>
          <w:b/>
          <w:bCs/>
          <w:lang w:val="en-CA"/>
        </w:rPr>
      </w:pPr>
      <w:r w:rsidRPr="00D93143">
        <w:rPr>
          <w:rFonts w:ascii="Arial" w:hAnsi="Arial" w:cs="Arial"/>
          <w:b/>
          <w:bCs/>
          <w:lang w:val="en-CA"/>
        </w:rPr>
        <w:t xml:space="preserve">Part 1: </w:t>
      </w:r>
      <w:r w:rsidR="00BB2DFB" w:rsidRPr="00D93143">
        <w:rPr>
          <w:rFonts w:ascii="Arial" w:hAnsi="Arial" w:cs="Arial"/>
          <w:b/>
          <w:bCs/>
          <w:lang w:val="en-CA"/>
        </w:rPr>
        <w:t>Identifying Local Indigenous Partners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8100"/>
        <w:gridCol w:w="3243"/>
        <w:gridCol w:w="4131"/>
      </w:tblGrid>
      <w:tr w:rsidR="007108A8" w:rsidRPr="006C0290" w14:paraId="420A67BD" w14:textId="77777777" w:rsidTr="00827A5E"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482EE711" w14:textId="44743B77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Prompts</w:t>
            </w:r>
          </w:p>
        </w:tc>
        <w:tc>
          <w:tcPr>
            <w:tcW w:w="2345" w:type="pct"/>
            <w:shd w:val="clear" w:color="auto" w:fill="D9D9D9" w:themeFill="background1" w:themeFillShade="D9"/>
            <w:vAlign w:val="center"/>
          </w:tcPr>
          <w:p w14:paraId="4A6347CC" w14:textId="332A8AFB" w:rsidR="00A268B6" w:rsidRPr="006C0290" w:rsidRDefault="00D93143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Guidance and e</w:t>
            </w:r>
            <w:r w:rsidR="00A268B6" w:rsidRPr="006C0290">
              <w:rPr>
                <w:rFonts w:ascii="Arial Narrow" w:hAnsi="Arial Narrow" w:cs="Arial"/>
                <w:b/>
                <w:bCs/>
              </w:rPr>
              <w:t>xamples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5DC64808" w14:textId="4D0658B2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Community </w:t>
            </w:r>
            <w:r w:rsidR="00D93143" w:rsidRPr="006C0290">
              <w:rPr>
                <w:rFonts w:ascii="Arial Narrow" w:hAnsi="Arial Narrow" w:cs="Arial"/>
                <w:b/>
                <w:bCs/>
              </w:rPr>
              <w:t>reflections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14:paraId="1AC63C77" w14:textId="21B1B3B0" w:rsidR="00A268B6" w:rsidRPr="006C0290" w:rsidRDefault="00A268B6" w:rsidP="00A268B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7108A8" w:rsidRPr="006C0290" w14:paraId="3C7D863F" w14:textId="77777777" w:rsidTr="00827A5E">
        <w:tc>
          <w:tcPr>
            <w:tcW w:w="520" w:type="pct"/>
            <w:vAlign w:val="center"/>
          </w:tcPr>
          <w:p w14:paraId="5028F36F" w14:textId="0340783B" w:rsidR="00A268B6" w:rsidRPr="006C0290" w:rsidRDefault="00A268B6" w:rsidP="00A268B6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Does my community have an IH CE and/or</w:t>
            </w:r>
            <w:r w:rsidR="00BB2DFB" w:rsidRPr="006C0290">
              <w:rPr>
                <w:rFonts w:ascii="Arial Narrow" w:hAnsi="Arial Narrow" w:cs="Arial"/>
                <w:b/>
                <w:bCs/>
              </w:rPr>
              <w:t xml:space="preserve"> IH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CAB</w:t>
            </w:r>
            <w:r w:rsidR="00BB2DFB" w:rsidRPr="006C0290">
              <w:rPr>
                <w:rFonts w:ascii="Arial Narrow" w:hAnsi="Arial Narrow" w:cs="Arial"/>
                <w:b/>
                <w:bCs/>
              </w:rPr>
              <w:t>?</w:t>
            </w:r>
          </w:p>
        </w:tc>
        <w:tc>
          <w:tcPr>
            <w:tcW w:w="2345" w:type="pct"/>
            <w:vAlign w:val="center"/>
          </w:tcPr>
          <w:p w14:paraId="41C6DDEF" w14:textId="7B88D657" w:rsidR="00827A5E" w:rsidRDefault="00827A5E" w:rsidP="006823F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Answer question 1.3 in your CHR, which will tell you if your community has a separate IH CE and/or IH CAB. </w:t>
            </w:r>
          </w:p>
          <w:p w14:paraId="4AFF75B9" w14:textId="1B4205A5" w:rsidR="006823FE" w:rsidRPr="006C0290" w:rsidRDefault="00827A5E" w:rsidP="006823FE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 could also v</w:t>
            </w:r>
            <w:r w:rsidR="00BB2DFB" w:rsidRPr="006C0290">
              <w:rPr>
                <w:rFonts w:ascii="Arial Narrow" w:hAnsi="Arial Narrow" w:cs="Arial"/>
              </w:rPr>
              <w:t xml:space="preserve">isit the Reaching Home </w:t>
            </w:r>
            <w:hyperlink r:id="rId19" w:history="1">
              <w:r w:rsidR="00BB2DFB" w:rsidRPr="006C0290">
                <w:rPr>
                  <w:rStyle w:val="Hyperlink"/>
                  <w:rFonts w:ascii="Arial Narrow" w:hAnsi="Arial Narrow" w:cs="Arial"/>
                  <w:i/>
                  <w:iCs/>
                </w:rPr>
                <w:t>Find a community</w:t>
              </w:r>
            </w:hyperlink>
            <w:r w:rsidR="00BB2DFB" w:rsidRPr="006C0290">
              <w:rPr>
                <w:rFonts w:ascii="Arial Narrow" w:hAnsi="Arial Narrow" w:cs="Arial"/>
              </w:rPr>
              <w:t xml:space="preserve"> page</w:t>
            </w:r>
            <w:r w:rsidR="006823FE" w:rsidRPr="006C0290">
              <w:rPr>
                <w:rFonts w:ascii="Arial Narrow" w:hAnsi="Arial Narrow" w:cs="Arial"/>
              </w:rPr>
              <w:t>:</w:t>
            </w:r>
          </w:p>
          <w:p w14:paraId="3437DE42" w14:textId="7F3A6213" w:rsidR="006823FE" w:rsidRPr="006C0290" w:rsidRDefault="006823FE" w:rsidP="006823F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</w:rPr>
              <w:t>S</w:t>
            </w:r>
            <w:r w:rsidR="00BB2DFB" w:rsidRPr="006C0290">
              <w:rPr>
                <w:rFonts w:ascii="Arial Narrow" w:hAnsi="Arial Narrow" w:cs="Arial"/>
              </w:rPr>
              <w:t>elect your</w:t>
            </w:r>
            <w:r w:rsidRPr="006C0290">
              <w:rPr>
                <w:rFonts w:ascii="Arial Narrow" w:hAnsi="Arial Narrow" w:cs="Arial"/>
              </w:rPr>
              <w:t xml:space="preserve"> province/territory, then your</w:t>
            </w:r>
            <w:r w:rsidR="00BB2DFB" w:rsidRPr="006C0290">
              <w:rPr>
                <w:rFonts w:ascii="Arial Narrow" w:hAnsi="Arial Narrow" w:cs="Arial"/>
              </w:rPr>
              <w:t xml:space="preserve"> community. </w:t>
            </w:r>
          </w:p>
          <w:p w14:paraId="1F7863B5" w14:textId="108957D9" w:rsidR="006823FE" w:rsidRPr="006C0290" w:rsidRDefault="00A224E3" w:rsidP="006823F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 see “Community Entity – Indigenous Homelessness”, there is a separate IH CE in your community.</w:t>
            </w:r>
          </w:p>
          <w:p w14:paraId="13A7E0D8" w14:textId="28FF9EBC" w:rsidR="00A224E3" w:rsidRPr="006C0290" w:rsidRDefault="587EEDDA" w:rsidP="56DFAD2B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 see “Community Advisory Board – Indigenous Homelessness”, there is a separate IH C</w:t>
            </w:r>
            <w:r w:rsidR="70ED8BF5" w:rsidRPr="006C0290">
              <w:rPr>
                <w:rFonts w:ascii="Arial Narrow" w:hAnsi="Arial Narrow" w:cs="Arial"/>
              </w:rPr>
              <w:t>AB</w:t>
            </w:r>
            <w:r w:rsidRPr="006C0290">
              <w:rPr>
                <w:rFonts w:ascii="Arial Narrow" w:hAnsi="Arial Narrow" w:cs="Arial"/>
              </w:rPr>
              <w:t xml:space="preserve"> in your community.</w:t>
            </w:r>
          </w:p>
          <w:p w14:paraId="4E0FC94F" w14:textId="48E67100" w:rsidR="00A268B6" w:rsidRPr="006C0290" w:rsidRDefault="00A224E3" w:rsidP="00A224E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</w:rPr>
              <w:t xml:space="preserve">You will </w:t>
            </w:r>
            <w:r w:rsidR="00E56DB1" w:rsidRPr="006C0290">
              <w:rPr>
                <w:rFonts w:ascii="Arial Narrow" w:hAnsi="Arial Narrow" w:cs="Arial"/>
              </w:rPr>
              <w:t>find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BB2DFB" w:rsidRPr="006C0290">
              <w:rPr>
                <w:rFonts w:ascii="Arial Narrow" w:hAnsi="Arial Narrow" w:cs="Arial"/>
              </w:rPr>
              <w:t xml:space="preserve">contact information for the </w:t>
            </w:r>
            <w:r w:rsidRPr="006C0290">
              <w:rPr>
                <w:rFonts w:ascii="Arial Narrow" w:hAnsi="Arial Narrow" w:cs="Arial"/>
              </w:rPr>
              <w:t>IH CE and/or IH CAB on this page.</w:t>
            </w:r>
          </w:p>
        </w:tc>
        <w:tc>
          <w:tcPr>
            <w:tcW w:w="939" w:type="pct"/>
            <w:vAlign w:val="center"/>
          </w:tcPr>
          <w:p w14:paraId="2373B95C" w14:textId="7EC0479B" w:rsidR="006823FE" w:rsidRPr="006C0290" w:rsidRDefault="00E738D3" w:rsidP="00A268B6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My community</w:t>
            </w:r>
            <w:r w:rsidR="006823FE" w:rsidRPr="006C0290">
              <w:rPr>
                <w:rFonts w:ascii="Arial Narrow" w:hAnsi="Arial Narrow" w:cs="Arial"/>
              </w:rPr>
              <w:t xml:space="preserve"> (select all that apply):</w:t>
            </w:r>
          </w:p>
          <w:p w14:paraId="1D4A6683" w14:textId="7350B7D2" w:rsidR="006823FE" w:rsidRPr="006C0290" w:rsidRDefault="00000000" w:rsidP="00A268B6">
            <w:pPr>
              <w:spacing w:before="60" w:after="6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288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3FE" w:rsidRPr="006C0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3FE" w:rsidRPr="006C0290">
              <w:rPr>
                <w:rFonts w:ascii="Arial Narrow" w:hAnsi="Arial Narrow" w:cs="Arial"/>
              </w:rPr>
              <w:t xml:space="preserve"> Has a</w:t>
            </w:r>
            <w:r w:rsidR="00827A5E">
              <w:rPr>
                <w:rFonts w:ascii="Arial Narrow" w:hAnsi="Arial Narrow" w:cs="Arial"/>
              </w:rPr>
              <w:t xml:space="preserve"> separate</w:t>
            </w:r>
            <w:r w:rsidR="006823FE" w:rsidRPr="006C0290">
              <w:rPr>
                <w:rFonts w:ascii="Arial Narrow" w:hAnsi="Arial Narrow" w:cs="Arial"/>
              </w:rPr>
              <w:t xml:space="preserve"> IH CE</w:t>
            </w:r>
          </w:p>
          <w:p w14:paraId="3EBEFBA0" w14:textId="6917EE33" w:rsidR="006823FE" w:rsidRPr="006C0290" w:rsidRDefault="00000000" w:rsidP="00A268B6">
            <w:pPr>
              <w:spacing w:before="60" w:after="60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346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3FE" w:rsidRPr="006C02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23FE" w:rsidRPr="006C0290">
              <w:rPr>
                <w:rFonts w:ascii="Arial Narrow" w:hAnsi="Arial Narrow" w:cs="Arial"/>
              </w:rPr>
              <w:t xml:space="preserve"> Has a</w:t>
            </w:r>
            <w:r w:rsidR="00827A5E">
              <w:rPr>
                <w:rFonts w:ascii="Arial Narrow" w:hAnsi="Arial Narrow" w:cs="Arial"/>
              </w:rPr>
              <w:t xml:space="preserve"> separate</w:t>
            </w:r>
            <w:r w:rsidR="006823FE" w:rsidRPr="006C0290">
              <w:rPr>
                <w:rFonts w:ascii="Arial Narrow" w:hAnsi="Arial Narrow" w:cs="Arial"/>
              </w:rPr>
              <w:t xml:space="preserve"> IH CAB</w:t>
            </w:r>
          </w:p>
          <w:p w14:paraId="7B20EB1E" w14:textId="0F7B0090" w:rsidR="006823FE" w:rsidRPr="006C0290" w:rsidRDefault="006823FE" w:rsidP="00A268B6">
            <w:pPr>
              <w:spacing w:before="60" w:after="60"/>
              <w:rPr>
                <w:rFonts w:ascii="Arial Narrow" w:hAnsi="Arial Narrow" w:cs="Arial"/>
              </w:rPr>
            </w:pPr>
          </w:p>
          <w:p w14:paraId="7CD15905" w14:textId="7685C411" w:rsidR="006823FE" w:rsidRPr="006C0290" w:rsidRDefault="006823FE" w:rsidP="00A268B6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If either apply, who are they and how can you contact them: </w:t>
            </w:r>
          </w:p>
          <w:p w14:paraId="4EAAA953" w14:textId="5DADFB12" w:rsidR="00A268B6" w:rsidRPr="006C0290" w:rsidRDefault="00805ECC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196" w:type="pct"/>
            <w:vAlign w:val="center"/>
          </w:tcPr>
          <w:p w14:paraId="21398D84" w14:textId="08E9B020" w:rsidR="00B52F9E" w:rsidRPr="006C0290" w:rsidRDefault="00E738D3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Use this to respond to question</w:t>
            </w:r>
            <w:r w:rsidR="00EE437F" w:rsidRPr="006C0290">
              <w:rPr>
                <w:rFonts w:ascii="Arial Narrow" w:hAnsi="Arial Narrow" w:cs="Arial"/>
              </w:rPr>
              <w:t>s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827A5E">
              <w:rPr>
                <w:rFonts w:ascii="Arial Narrow" w:hAnsi="Arial Narrow" w:cs="Arial"/>
              </w:rPr>
              <w:t>1.4, 1.5</w:t>
            </w:r>
            <w:r w:rsidR="006823FE" w:rsidRPr="006C0290">
              <w:rPr>
                <w:rFonts w:ascii="Arial Narrow" w:hAnsi="Arial Narrow" w:cs="Arial"/>
              </w:rPr>
              <w:t xml:space="preserve"> </w:t>
            </w:r>
            <w:r w:rsidR="00EE437F" w:rsidRPr="006C0290">
              <w:rPr>
                <w:rFonts w:ascii="Arial Narrow" w:hAnsi="Arial Narrow" w:cs="Arial"/>
              </w:rPr>
              <w:t xml:space="preserve">and 1.6 </w:t>
            </w:r>
            <w:r w:rsidRPr="006C0290">
              <w:rPr>
                <w:rFonts w:ascii="Arial Narrow" w:hAnsi="Arial Narrow" w:cs="Arial"/>
              </w:rPr>
              <w:t>in your CHR.</w:t>
            </w:r>
            <w:r w:rsidR="00B52F9E" w:rsidRPr="006C0290">
              <w:rPr>
                <w:rFonts w:ascii="Arial Narrow" w:hAnsi="Arial Narrow" w:cs="Arial"/>
              </w:rPr>
              <w:t xml:space="preserve"> </w:t>
            </w:r>
          </w:p>
          <w:p w14:paraId="574D280F" w14:textId="1F231912" w:rsidR="00DA3680" w:rsidRPr="006C0290" w:rsidRDefault="00B52F9E" w:rsidP="00DA3680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 do have a</w:t>
            </w:r>
            <w:r w:rsidR="00827A5E">
              <w:rPr>
                <w:rFonts w:ascii="Arial Narrow" w:hAnsi="Arial Narrow" w:cs="Arial"/>
              </w:rPr>
              <w:t xml:space="preserve"> separate</w:t>
            </w:r>
            <w:r w:rsidRPr="006C0290">
              <w:rPr>
                <w:rFonts w:ascii="Arial Narrow" w:hAnsi="Arial Narrow" w:cs="Arial"/>
              </w:rPr>
              <w:t xml:space="preserve"> IH CE and/or IH CAB, </w:t>
            </w:r>
            <w:r w:rsidR="00EE437F" w:rsidRPr="006C0290">
              <w:rPr>
                <w:rFonts w:ascii="Arial Narrow" w:hAnsi="Arial Narrow" w:cs="Arial"/>
              </w:rPr>
              <w:t xml:space="preserve">you will be asked to </w:t>
            </w:r>
            <w:r w:rsidR="00DA3680" w:rsidRPr="006C0290">
              <w:rPr>
                <w:rFonts w:ascii="Arial Narrow" w:hAnsi="Arial Narrow" w:cs="Arial"/>
              </w:rPr>
              <w:t xml:space="preserve">speak to </w:t>
            </w:r>
            <w:r w:rsidRPr="006C0290">
              <w:rPr>
                <w:rFonts w:ascii="Arial Narrow" w:hAnsi="Arial Narrow" w:cs="Arial"/>
              </w:rPr>
              <w:t>collaboration with them in question</w:t>
            </w:r>
            <w:r w:rsidR="00DA3680" w:rsidRPr="006C0290">
              <w:rPr>
                <w:rFonts w:ascii="Arial Narrow" w:hAnsi="Arial Narrow" w:cs="Arial"/>
              </w:rPr>
              <w:t>s 1.</w:t>
            </w:r>
            <w:r w:rsidR="00827A5E">
              <w:rPr>
                <w:rFonts w:ascii="Arial Narrow" w:hAnsi="Arial Narrow" w:cs="Arial"/>
              </w:rPr>
              <w:t>4, 1.5</w:t>
            </w:r>
            <w:r w:rsidR="00DA3680" w:rsidRPr="006C0290">
              <w:rPr>
                <w:rFonts w:ascii="Arial Narrow" w:hAnsi="Arial Narrow" w:cs="Arial"/>
              </w:rPr>
              <w:t xml:space="preserve"> and</w:t>
            </w:r>
            <w:r w:rsidR="00827A5E">
              <w:rPr>
                <w:rFonts w:ascii="Arial Narrow" w:hAnsi="Arial Narrow" w:cs="Arial"/>
              </w:rPr>
              <w:t>/or</w:t>
            </w:r>
            <w:r w:rsidR="00DA3680" w:rsidRPr="006C0290">
              <w:rPr>
                <w:rFonts w:ascii="Arial Narrow" w:hAnsi="Arial Narrow" w:cs="Arial"/>
              </w:rPr>
              <w:t xml:space="preserve"> 1.6</w:t>
            </w:r>
            <w:r w:rsidRPr="006C0290">
              <w:rPr>
                <w:rFonts w:ascii="Arial Narrow" w:hAnsi="Arial Narrow" w:cs="Arial"/>
              </w:rPr>
              <w:t xml:space="preserve">. </w:t>
            </w:r>
          </w:p>
          <w:p w14:paraId="042EB5E4" w14:textId="57A98AA3" w:rsidR="00EE437F" w:rsidRPr="006C0290" w:rsidRDefault="00B52F9E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See Part </w:t>
            </w:r>
            <w:r w:rsidR="00225B52" w:rsidRPr="006C0290">
              <w:rPr>
                <w:rFonts w:ascii="Arial Narrow" w:hAnsi="Arial Narrow" w:cs="Arial"/>
              </w:rPr>
              <w:t>2</w:t>
            </w:r>
            <w:r w:rsidRPr="006C0290">
              <w:rPr>
                <w:rFonts w:ascii="Arial Narrow" w:hAnsi="Arial Narrow" w:cs="Arial"/>
              </w:rPr>
              <w:t xml:space="preserve"> of this worksheet</w:t>
            </w:r>
            <w:r w:rsidR="00DA3680" w:rsidRPr="006C0290">
              <w:rPr>
                <w:rFonts w:ascii="Arial Narrow" w:hAnsi="Arial Narrow" w:cs="Arial"/>
              </w:rPr>
              <w:t xml:space="preserve"> for</w:t>
            </w:r>
            <w:r w:rsidR="00D93143" w:rsidRPr="006C0290">
              <w:rPr>
                <w:rFonts w:ascii="Arial Narrow" w:hAnsi="Arial Narrow" w:cs="Arial"/>
              </w:rPr>
              <w:t xml:space="preserve"> additional guidance on collaboration. </w:t>
            </w:r>
          </w:p>
        </w:tc>
      </w:tr>
      <w:tr w:rsidR="007108A8" w:rsidRPr="006C0290" w14:paraId="4CC09770" w14:textId="77777777" w:rsidTr="00827A5E">
        <w:tc>
          <w:tcPr>
            <w:tcW w:w="520" w:type="pct"/>
            <w:vAlign w:val="center"/>
          </w:tcPr>
          <w:p w14:paraId="3693E937" w14:textId="701B39C3" w:rsidR="00E738D3" w:rsidRPr="006C0290" w:rsidRDefault="00E738D3" w:rsidP="00E738D3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Who are my other Indigenous partners?</w:t>
            </w:r>
          </w:p>
        </w:tc>
        <w:tc>
          <w:tcPr>
            <w:tcW w:w="2345" w:type="pct"/>
            <w:vAlign w:val="center"/>
          </w:tcPr>
          <w:p w14:paraId="42E847D6" w14:textId="55EF42F6" w:rsidR="007108A8" w:rsidRPr="006C0290" w:rsidRDefault="007108A8" w:rsidP="00F10287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If you’re unsure where to start, you can identify partners by…</w:t>
            </w:r>
          </w:p>
          <w:p w14:paraId="65F3A648" w14:textId="0C7FC5D0" w:rsidR="00E738D3" w:rsidRPr="006C0290" w:rsidRDefault="00E738D3" w:rsidP="00E738D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Connect</w:t>
            </w:r>
            <w:r w:rsidR="00D93143" w:rsidRPr="006C0290">
              <w:rPr>
                <w:rFonts w:ascii="Arial Narrow" w:hAnsi="Arial Narrow" w:cs="Arial"/>
              </w:rPr>
              <w:t>ing</w:t>
            </w:r>
            <w:r w:rsidRPr="006C0290">
              <w:rPr>
                <w:rFonts w:ascii="Arial Narrow" w:hAnsi="Arial Narrow" w:cs="Arial"/>
              </w:rPr>
              <w:t xml:space="preserve"> with </w:t>
            </w:r>
            <w:r w:rsidR="006823FE" w:rsidRPr="006C0290">
              <w:rPr>
                <w:rFonts w:ascii="Arial Narrow" w:hAnsi="Arial Narrow" w:cs="Arial"/>
              </w:rPr>
              <w:t xml:space="preserve">a </w:t>
            </w:r>
            <w:r w:rsidRPr="006C0290">
              <w:rPr>
                <w:rFonts w:ascii="Arial Narrow" w:hAnsi="Arial Narrow" w:cs="Arial"/>
              </w:rPr>
              <w:t xml:space="preserve">local </w:t>
            </w:r>
            <w:hyperlink r:id="rId20" w:history="1">
              <w:r w:rsidRPr="006C0290">
                <w:rPr>
                  <w:rStyle w:val="Hyperlink"/>
                  <w:rFonts w:ascii="Arial Narrow" w:hAnsi="Arial Narrow" w:cs="Arial"/>
                </w:rPr>
                <w:t>Indigenous Friendship Centre</w:t>
              </w:r>
            </w:hyperlink>
            <w:r w:rsidR="007108A8" w:rsidRPr="006C0290">
              <w:rPr>
                <w:rFonts w:ascii="Arial Narrow" w:hAnsi="Arial Narrow" w:cs="Arial"/>
              </w:rPr>
              <w:t>.</w:t>
            </w:r>
          </w:p>
          <w:p w14:paraId="53F34E43" w14:textId="24EE80F4" w:rsidR="00991996" w:rsidRPr="006C0290" w:rsidRDefault="00D522FD" w:rsidP="00D522FD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Visiting the website of </w:t>
            </w:r>
            <w:r w:rsidR="007C578B" w:rsidRPr="006C0290">
              <w:rPr>
                <w:rFonts w:ascii="Arial Narrow" w:hAnsi="Arial Narrow" w:cs="Arial"/>
              </w:rPr>
              <w:t>N</w:t>
            </w:r>
            <w:r w:rsidRPr="006C0290">
              <w:rPr>
                <w:rFonts w:ascii="Arial Narrow" w:hAnsi="Arial Narrow" w:cs="Arial"/>
              </w:rPr>
              <w:t>ational Indigenous Organizations</w:t>
            </w:r>
            <w:r w:rsidR="00991996" w:rsidRPr="006C0290">
              <w:rPr>
                <w:rFonts w:ascii="Arial Narrow" w:hAnsi="Arial Narrow" w:cs="Arial"/>
              </w:rPr>
              <w:t xml:space="preserve">, </w:t>
            </w:r>
            <w:r w:rsidR="007F7A6D" w:rsidRPr="006C0290">
              <w:rPr>
                <w:rFonts w:ascii="Arial Narrow" w:hAnsi="Arial Narrow" w:cs="Arial"/>
              </w:rPr>
              <w:t>such as</w:t>
            </w:r>
            <w:r w:rsidR="00CE3AC6" w:rsidRPr="006C0290">
              <w:rPr>
                <w:rFonts w:ascii="Arial Narrow" w:hAnsi="Arial Narrow" w:cs="Arial"/>
              </w:rPr>
              <w:t xml:space="preserve">: </w:t>
            </w:r>
          </w:p>
          <w:p w14:paraId="2D6144B6" w14:textId="177D254E" w:rsidR="00991996" w:rsidRPr="006C0290" w:rsidRDefault="00000000" w:rsidP="00827A5E">
            <w:pPr>
              <w:pStyle w:val="ListParagraph"/>
              <w:numPr>
                <w:ilvl w:val="1"/>
                <w:numId w:val="12"/>
              </w:numPr>
              <w:spacing w:before="60" w:after="60"/>
              <w:ind w:left="806"/>
              <w:rPr>
                <w:rStyle w:val="Hyperlink"/>
                <w:rFonts w:ascii="Arial Narrow" w:hAnsi="Arial Narrow" w:cs="Arial"/>
                <w:color w:val="auto"/>
                <w:u w:val="none"/>
              </w:rPr>
            </w:pPr>
            <w:hyperlink r:id="rId21" w:history="1">
              <w:r w:rsidR="00991996" w:rsidRPr="006C0290">
                <w:rPr>
                  <w:rStyle w:val="Hyperlink"/>
                  <w:rFonts w:ascii="Arial Narrow" w:hAnsi="Arial Narrow" w:cs="Arial"/>
                  <w:bCs/>
                </w:rPr>
                <w:t>Assembly of First Nations</w:t>
              </w:r>
            </w:hyperlink>
            <w:r w:rsidR="008C72EC" w:rsidRPr="006C0290">
              <w:rPr>
                <w:rStyle w:val="Hyperlink"/>
                <w:rFonts w:ascii="Arial Narrow" w:hAnsi="Arial Narrow" w:cs="Arial"/>
                <w:bCs/>
              </w:rPr>
              <w:t>;</w:t>
            </w:r>
          </w:p>
          <w:p w14:paraId="0A1E56FB" w14:textId="17E10144" w:rsidR="00991996" w:rsidRPr="006C0290" w:rsidRDefault="007C578B" w:rsidP="00827A5E">
            <w:pPr>
              <w:pStyle w:val="ListParagraph"/>
              <w:numPr>
                <w:ilvl w:val="1"/>
                <w:numId w:val="12"/>
              </w:numPr>
              <w:spacing w:before="60" w:after="60"/>
              <w:ind w:left="806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Métis National Council (</w:t>
            </w:r>
            <w:r w:rsidR="005C610C" w:rsidRPr="006C0290">
              <w:rPr>
                <w:rFonts w:ascii="Arial Narrow" w:hAnsi="Arial Narrow" w:cs="Arial"/>
              </w:rPr>
              <w:t xml:space="preserve">BC, AB, SK, ON) </w:t>
            </w:r>
            <w:r w:rsidRPr="006C0290">
              <w:rPr>
                <w:rFonts w:ascii="Arial Narrow" w:hAnsi="Arial Narrow" w:cs="Arial"/>
              </w:rPr>
              <w:t>or the Manitoba Métis Federation</w:t>
            </w:r>
            <w:r w:rsidR="00DE634D" w:rsidRPr="006C0290">
              <w:rPr>
                <w:rFonts w:ascii="Arial Narrow" w:hAnsi="Arial Narrow" w:cs="Arial"/>
              </w:rPr>
              <w:t xml:space="preserve"> (MB)</w:t>
            </w:r>
            <w:r w:rsidR="00245C97" w:rsidRPr="006C0290">
              <w:rPr>
                <w:rFonts w:ascii="Arial Narrow" w:hAnsi="Arial Narrow" w:cs="Arial"/>
              </w:rPr>
              <w:t>;</w:t>
            </w:r>
          </w:p>
          <w:p w14:paraId="09FB6916" w14:textId="2F26E4F7" w:rsidR="008478DD" w:rsidRPr="006C0290" w:rsidRDefault="008478DD" w:rsidP="00827A5E">
            <w:pPr>
              <w:pStyle w:val="ListParagraph"/>
              <w:numPr>
                <w:ilvl w:val="1"/>
                <w:numId w:val="12"/>
              </w:numPr>
              <w:spacing w:before="60" w:after="60"/>
              <w:ind w:left="806"/>
              <w:rPr>
                <w:rFonts w:ascii="Arial Narrow" w:hAnsi="Arial Narrow" w:cs="Arial"/>
                <w:lang w:val="en-CA"/>
              </w:rPr>
            </w:pPr>
            <w:r w:rsidRPr="006C0290">
              <w:rPr>
                <w:rFonts w:ascii="Arial Narrow" w:hAnsi="Arial Narrow" w:cs="Arial"/>
                <w:lang w:val="en-CA"/>
              </w:rPr>
              <w:t xml:space="preserve">Inuit </w:t>
            </w:r>
            <w:proofErr w:type="spellStart"/>
            <w:r w:rsidRPr="006C0290">
              <w:rPr>
                <w:rFonts w:ascii="Arial Narrow" w:hAnsi="Arial Narrow" w:cs="Arial"/>
                <w:lang w:val="en-CA"/>
              </w:rPr>
              <w:t>Tapiriit</w:t>
            </w:r>
            <w:proofErr w:type="spellEnd"/>
            <w:r w:rsidRPr="006C0290">
              <w:rPr>
                <w:rFonts w:ascii="Arial Narrow" w:hAnsi="Arial Narrow" w:cs="Arial"/>
                <w:lang w:val="en-CA"/>
              </w:rPr>
              <w:t xml:space="preserve"> </w:t>
            </w:r>
            <w:proofErr w:type="spellStart"/>
            <w:r w:rsidRPr="006C0290">
              <w:rPr>
                <w:rFonts w:ascii="Arial Narrow" w:hAnsi="Arial Narrow" w:cs="Arial"/>
                <w:lang w:val="en-CA"/>
              </w:rPr>
              <w:t>Kanatami</w:t>
            </w:r>
            <w:proofErr w:type="spellEnd"/>
            <w:r w:rsidR="00245C97" w:rsidRPr="006C0290">
              <w:rPr>
                <w:rFonts w:ascii="Arial Narrow" w:hAnsi="Arial Narrow" w:cs="Arial"/>
                <w:lang w:val="en-CA"/>
              </w:rPr>
              <w:t>; and</w:t>
            </w:r>
            <w:r w:rsidR="007F7A6D" w:rsidRPr="006C0290">
              <w:rPr>
                <w:rFonts w:ascii="Arial Narrow" w:hAnsi="Arial Narrow" w:cs="Arial"/>
                <w:lang w:val="en-CA"/>
              </w:rPr>
              <w:t>,</w:t>
            </w:r>
          </w:p>
          <w:p w14:paraId="1F562577" w14:textId="1FB289B4" w:rsidR="007977FB" w:rsidRPr="006C0290" w:rsidRDefault="00000000" w:rsidP="008478DD">
            <w:pPr>
              <w:pStyle w:val="ListParagraph"/>
              <w:numPr>
                <w:ilvl w:val="1"/>
                <w:numId w:val="12"/>
              </w:numPr>
              <w:spacing w:before="60" w:after="60"/>
              <w:rPr>
                <w:rFonts w:ascii="Arial Narrow" w:hAnsi="Arial Narrow" w:cs="Arial"/>
                <w:lang w:val="en-CA"/>
              </w:rPr>
            </w:pPr>
            <w:hyperlink r:id="rId22" w:history="1">
              <w:r w:rsidR="007977FB" w:rsidRPr="006C0290">
                <w:rPr>
                  <w:rStyle w:val="Hyperlink"/>
                  <w:rFonts w:ascii="Arial Narrow" w:hAnsi="Arial Narrow" w:cs="Arial"/>
                  <w:lang w:val="en-CA"/>
                </w:rPr>
                <w:t>Congress of Aboriginal Peoples</w:t>
              </w:r>
            </w:hyperlink>
            <w:r w:rsidR="00245C97" w:rsidRPr="006C0290">
              <w:rPr>
                <w:rFonts w:ascii="Arial Narrow" w:hAnsi="Arial Narrow" w:cs="Arial"/>
                <w:lang w:val="en-CA"/>
              </w:rPr>
              <w:t>.</w:t>
            </w:r>
          </w:p>
          <w:p w14:paraId="4755A947" w14:textId="7AE540E6" w:rsidR="00991996" w:rsidRPr="006C0290" w:rsidRDefault="00117AE7" w:rsidP="00D522FD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Visiting the website for </w:t>
            </w:r>
            <w:hyperlink r:id="rId23" w:history="1">
              <w:r w:rsidRPr="006C0290">
                <w:rPr>
                  <w:rStyle w:val="Hyperlink"/>
                  <w:rFonts w:ascii="Arial Narrow" w:hAnsi="Arial Narrow" w:cs="Arial"/>
                </w:rPr>
                <w:t>Crown-Indigenous Relations and Northern Affairs Canad</w:t>
              </w:r>
              <w:r w:rsidR="00BC6F3D" w:rsidRPr="006C0290">
                <w:rPr>
                  <w:rStyle w:val="Hyperlink"/>
                  <w:rFonts w:ascii="Arial Narrow" w:hAnsi="Arial Narrow" w:cs="Arial"/>
                </w:rPr>
                <w:t>a</w:t>
              </w:r>
            </w:hyperlink>
          </w:p>
          <w:p w14:paraId="6184D34E" w14:textId="258FCA2B" w:rsidR="007108A8" w:rsidRPr="006C0290" w:rsidRDefault="007108A8" w:rsidP="007108A8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Connect</w:t>
            </w:r>
            <w:r w:rsidR="00D93143" w:rsidRPr="006C0290">
              <w:rPr>
                <w:rFonts w:ascii="Arial Narrow" w:hAnsi="Arial Narrow" w:cs="Arial"/>
              </w:rPr>
              <w:t>ing</w:t>
            </w:r>
            <w:r w:rsidRPr="006C0290">
              <w:rPr>
                <w:rFonts w:ascii="Arial Narrow" w:hAnsi="Arial Narrow" w:cs="Arial"/>
              </w:rPr>
              <w:t xml:space="preserve"> with Indigenous Elders within your community.</w:t>
            </w:r>
          </w:p>
          <w:p w14:paraId="7CE7F2AB" w14:textId="2CC4ECC4" w:rsidR="00F07344" w:rsidRPr="006C0290" w:rsidRDefault="003644F3" w:rsidP="00E738D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Contacting the organizers of</w:t>
            </w:r>
            <w:r w:rsidR="00DB5237" w:rsidRPr="006C0290">
              <w:rPr>
                <w:rFonts w:ascii="Arial Narrow" w:hAnsi="Arial Narrow" w:cs="Arial"/>
              </w:rPr>
              <w:t xml:space="preserve"> initiati</w:t>
            </w:r>
            <w:r w:rsidR="007F7A6D" w:rsidRPr="006C0290">
              <w:rPr>
                <w:rFonts w:ascii="Arial Narrow" w:hAnsi="Arial Narrow" w:cs="Arial"/>
              </w:rPr>
              <w:t>v</w:t>
            </w:r>
            <w:r w:rsidR="00DB5237" w:rsidRPr="006C0290">
              <w:rPr>
                <w:rFonts w:ascii="Arial Narrow" w:hAnsi="Arial Narrow" w:cs="Arial"/>
              </w:rPr>
              <w:t>es</w:t>
            </w:r>
            <w:r w:rsidRPr="006C0290">
              <w:rPr>
                <w:rFonts w:ascii="Arial Narrow" w:hAnsi="Arial Narrow" w:cs="Arial"/>
              </w:rPr>
              <w:t xml:space="preserve"> in your community such as</w:t>
            </w:r>
            <w:r w:rsidR="00BB7D02" w:rsidRPr="006C0290">
              <w:rPr>
                <w:rFonts w:ascii="Arial Narrow" w:hAnsi="Arial Narrow" w:cs="Arial"/>
              </w:rPr>
              <w:t>:</w:t>
            </w:r>
            <w:r w:rsidRPr="006C0290">
              <w:rPr>
                <w:rFonts w:ascii="Arial Narrow" w:hAnsi="Arial Narrow" w:cs="Arial"/>
              </w:rPr>
              <w:t xml:space="preserve"> </w:t>
            </w:r>
            <w:r w:rsidR="00CB78F9" w:rsidRPr="006C0290">
              <w:rPr>
                <w:rFonts w:ascii="Arial Narrow" w:hAnsi="Arial Narrow" w:cs="Arial"/>
              </w:rPr>
              <w:t xml:space="preserve">Every Child Matters / Orange Shirt Day, Indigenous Residential School Survivor </w:t>
            </w:r>
            <w:r w:rsidR="00BE658C" w:rsidRPr="006C0290">
              <w:rPr>
                <w:rFonts w:ascii="Arial Narrow" w:hAnsi="Arial Narrow" w:cs="Arial"/>
              </w:rPr>
              <w:t>activities</w:t>
            </w:r>
            <w:r w:rsidR="00CB78F9" w:rsidRPr="006C0290">
              <w:rPr>
                <w:rFonts w:ascii="Arial Narrow" w:hAnsi="Arial Narrow" w:cs="Arial"/>
              </w:rPr>
              <w:t>, Ribbon Skirt March</w:t>
            </w:r>
            <w:r w:rsidR="00024045" w:rsidRPr="006C0290">
              <w:rPr>
                <w:rFonts w:ascii="Arial Narrow" w:hAnsi="Arial Narrow" w:cs="Arial"/>
              </w:rPr>
              <w:t>, etc.</w:t>
            </w:r>
          </w:p>
          <w:p w14:paraId="38B8C492" w14:textId="46F02F74" w:rsidR="00A224E3" w:rsidRPr="006C0290" w:rsidRDefault="007108A8" w:rsidP="00F714F8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Connecting with the non-designated </w:t>
            </w:r>
            <w:r w:rsidR="00F10287" w:rsidRPr="006C0290">
              <w:rPr>
                <w:rFonts w:ascii="Arial Narrow" w:hAnsi="Arial Narrow" w:cs="Arial"/>
              </w:rPr>
              <w:t>C</w:t>
            </w:r>
            <w:r w:rsidRPr="006C0290">
              <w:rPr>
                <w:rFonts w:ascii="Arial Narrow" w:hAnsi="Arial Narrow" w:cs="Arial"/>
              </w:rPr>
              <w:t>ommunity</w:t>
            </w:r>
            <w:r w:rsidR="00F10287" w:rsidRPr="006C0290">
              <w:rPr>
                <w:rFonts w:ascii="Arial Narrow" w:hAnsi="Arial Narrow" w:cs="Arial"/>
              </w:rPr>
              <w:t xml:space="preserve"> Entity that manages the</w:t>
            </w:r>
            <w:r w:rsidRPr="006C0290">
              <w:rPr>
                <w:rFonts w:ascii="Arial Narrow" w:hAnsi="Arial Narrow" w:cs="Arial"/>
              </w:rPr>
              <w:t xml:space="preserve"> IH stream</w:t>
            </w:r>
            <w:r w:rsidR="008B64CF" w:rsidRPr="006C0290">
              <w:rPr>
                <w:rFonts w:ascii="Arial Narrow" w:hAnsi="Arial Narrow" w:cs="Arial"/>
              </w:rPr>
              <w:t xml:space="preserve"> within your broader region</w:t>
            </w:r>
            <w:r w:rsidR="00F10287" w:rsidRPr="006C0290">
              <w:rPr>
                <w:rFonts w:ascii="Arial Narrow" w:hAnsi="Arial Narrow" w:cs="Arial"/>
              </w:rPr>
              <w:t xml:space="preserve">. </w:t>
            </w:r>
            <w:r w:rsidR="00A325F2" w:rsidRPr="006C0290">
              <w:rPr>
                <w:rFonts w:ascii="Arial Narrow" w:hAnsi="Arial Narrow" w:cs="Arial"/>
              </w:rPr>
              <w:t>Y</w:t>
            </w:r>
            <w:r w:rsidR="00F10287" w:rsidRPr="006C0290">
              <w:rPr>
                <w:rFonts w:ascii="Arial Narrow" w:hAnsi="Arial Narrow" w:cs="Arial"/>
              </w:rPr>
              <w:t xml:space="preserve">ou can find the contact information under “Non-designated community” on the </w:t>
            </w:r>
            <w:r w:rsidRPr="006C0290">
              <w:rPr>
                <w:rFonts w:ascii="Arial Narrow" w:hAnsi="Arial Narrow" w:cs="Arial"/>
              </w:rPr>
              <w:t xml:space="preserve">Reaching Home </w:t>
            </w:r>
            <w:hyperlink r:id="rId24" w:history="1">
              <w:r w:rsidRPr="006C0290">
                <w:rPr>
                  <w:rStyle w:val="Hyperlink"/>
                  <w:rFonts w:ascii="Arial Narrow" w:hAnsi="Arial Narrow" w:cs="Arial"/>
                  <w:i/>
                  <w:iCs/>
                </w:rPr>
                <w:t>Find a community</w:t>
              </w:r>
            </w:hyperlink>
            <w:r w:rsidRPr="006C0290">
              <w:rPr>
                <w:rFonts w:ascii="Arial Narrow" w:hAnsi="Arial Narrow" w:cs="Arial"/>
              </w:rPr>
              <w:t xml:space="preserve"> page</w:t>
            </w:r>
            <w:r w:rsidR="00F10287" w:rsidRPr="006C0290">
              <w:rPr>
                <w:rFonts w:ascii="Arial Narrow" w:hAnsi="Arial Narrow" w:cs="Arial"/>
              </w:rPr>
              <w:t>.</w:t>
            </w:r>
          </w:p>
          <w:p w14:paraId="6366C403" w14:textId="53E0D92A" w:rsidR="00F10287" w:rsidRPr="006C0290" w:rsidRDefault="007E0A96" w:rsidP="1D673AB0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 xml:space="preserve">Asking the </w:t>
            </w:r>
            <w:r w:rsidR="00F10287" w:rsidRPr="006C0290">
              <w:rPr>
                <w:rFonts w:ascii="Arial Narrow" w:hAnsi="Arial Narrow" w:cs="Arial"/>
              </w:rPr>
              <w:t xml:space="preserve">Indigenous </w:t>
            </w:r>
            <w:r w:rsidRPr="006C0290">
              <w:rPr>
                <w:rFonts w:ascii="Arial Narrow" w:hAnsi="Arial Narrow" w:cs="Arial"/>
              </w:rPr>
              <w:t xml:space="preserve">representatives </w:t>
            </w:r>
            <w:r w:rsidR="00F10287" w:rsidRPr="006C0290">
              <w:rPr>
                <w:rFonts w:ascii="Arial Narrow" w:hAnsi="Arial Narrow" w:cs="Arial"/>
              </w:rPr>
              <w:t xml:space="preserve">on </w:t>
            </w:r>
            <w:r w:rsidR="00D93143" w:rsidRPr="006C0290">
              <w:rPr>
                <w:rFonts w:ascii="Arial Narrow" w:hAnsi="Arial Narrow" w:cs="Arial"/>
              </w:rPr>
              <w:t>your</w:t>
            </w:r>
            <w:r w:rsidR="00F10287" w:rsidRPr="006C0290">
              <w:rPr>
                <w:rFonts w:ascii="Arial Narrow" w:hAnsi="Arial Narrow" w:cs="Arial"/>
              </w:rPr>
              <w:t xml:space="preserve"> CAB</w:t>
            </w:r>
            <w:r w:rsidR="00805ECC" w:rsidRPr="006C0290">
              <w:rPr>
                <w:rFonts w:ascii="Arial Narrow" w:hAnsi="Arial Narrow" w:cs="Arial"/>
              </w:rPr>
              <w:t>.</w:t>
            </w:r>
          </w:p>
        </w:tc>
        <w:tc>
          <w:tcPr>
            <w:tcW w:w="939" w:type="pct"/>
            <w:vAlign w:val="center"/>
          </w:tcPr>
          <w:p w14:paraId="1D55D5AE" w14:textId="77777777" w:rsidR="00E738D3" w:rsidRPr="006C0290" w:rsidRDefault="00E738D3" w:rsidP="00E738D3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In my community, Indigenous partners are…</w:t>
            </w:r>
          </w:p>
          <w:p w14:paraId="4283E015" w14:textId="77777777" w:rsidR="00505067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 xml:space="preserve">[community response here] </w:t>
            </w:r>
          </w:p>
          <w:p w14:paraId="05AAB0A8" w14:textId="77777777" w:rsidR="00505067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 xml:space="preserve">[community response here] </w:t>
            </w:r>
          </w:p>
          <w:p w14:paraId="787A898B" w14:textId="58385F3E" w:rsidR="00805ECC" w:rsidRPr="006C0290" w:rsidRDefault="00505067" w:rsidP="00D9314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196" w:type="pct"/>
            <w:vAlign w:val="center"/>
          </w:tcPr>
          <w:p w14:paraId="31E44189" w14:textId="2B019FD6" w:rsidR="00F10287" w:rsidRPr="006C0290" w:rsidRDefault="00F10287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Use this to respond to questions 1.4 and 1.5 in your CHR.</w:t>
            </w:r>
          </w:p>
          <w:p w14:paraId="0FFB8D43" w14:textId="497E989E" w:rsidR="00E738D3" w:rsidRPr="006C0290" w:rsidRDefault="00D93143" w:rsidP="00F10287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See Part 2 of this worksheet for additional guidance on collaboration.</w:t>
            </w:r>
          </w:p>
        </w:tc>
      </w:tr>
    </w:tbl>
    <w:p w14:paraId="428E496D" w14:textId="3066C431" w:rsidR="00225B52" w:rsidRDefault="00225B52" w:rsidP="00225B52">
      <w:pPr>
        <w:keepNext/>
        <w:spacing w:before="240" w:after="120"/>
        <w:rPr>
          <w:rFonts w:ascii="Arial" w:hAnsi="Arial" w:cs="Arial"/>
          <w:b/>
          <w:bCs/>
          <w:lang w:val="en-CA"/>
        </w:rPr>
      </w:pPr>
      <w:r w:rsidRPr="00D93143">
        <w:rPr>
          <w:rFonts w:ascii="Arial" w:hAnsi="Arial" w:cs="Arial"/>
          <w:b/>
          <w:bCs/>
          <w:lang w:val="en-CA"/>
        </w:rPr>
        <w:lastRenderedPageBreak/>
        <w:t xml:space="preserve">Part 2: </w:t>
      </w:r>
      <w:r w:rsidR="00D93143" w:rsidRPr="00D93143">
        <w:rPr>
          <w:rFonts w:ascii="Arial" w:hAnsi="Arial" w:cs="Arial"/>
          <w:b/>
          <w:bCs/>
          <w:lang w:val="en-CA"/>
        </w:rPr>
        <w:t xml:space="preserve">Guidance on </w:t>
      </w:r>
      <w:r w:rsidR="00A63C3F">
        <w:rPr>
          <w:rFonts w:ascii="Arial" w:hAnsi="Arial" w:cs="Arial"/>
          <w:b/>
          <w:bCs/>
          <w:lang w:val="en-CA"/>
        </w:rPr>
        <w:t>C</w:t>
      </w:r>
      <w:r w:rsidRPr="00D93143">
        <w:rPr>
          <w:rFonts w:ascii="Arial" w:hAnsi="Arial" w:cs="Arial"/>
          <w:b/>
          <w:bCs/>
          <w:lang w:val="en-CA"/>
        </w:rPr>
        <w:t>ollaboration</w:t>
      </w:r>
    </w:p>
    <w:p w14:paraId="0FF65275" w14:textId="3083BAF8" w:rsidR="00E56DB1" w:rsidRPr="00E56DB1" w:rsidRDefault="00863BD4" w:rsidP="00D93143">
      <w:pPr>
        <w:keepNext/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a) </w:t>
      </w:r>
      <w:r w:rsidR="00E56DB1" w:rsidRPr="00E56DB1">
        <w:rPr>
          <w:rFonts w:ascii="Arial" w:eastAsia="Adobe Gothic Std B" w:hAnsi="Arial" w:cs="Arial"/>
        </w:rPr>
        <w:t xml:space="preserve">For each </w:t>
      </w:r>
      <w:r w:rsidR="00E56DB1">
        <w:rPr>
          <w:rFonts w:ascii="Arial" w:eastAsia="Adobe Gothic Std B" w:hAnsi="Arial" w:cs="Arial"/>
        </w:rPr>
        <w:t xml:space="preserve">Indigenous partner identified in Part 1 where collaboration </w:t>
      </w:r>
      <w:r w:rsidR="0053436D" w:rsidRPr="0053436D">
        <w:rPr>
          <w:rFonts w:ascii="Arial" w:eastAsia="Adobe Gothic Std B" w:hAnsi="Arial" w:cs="Arial"/>
          <w:u w:val="single"/>
        </w:rPr>
        <w:t>did</w:t>
      </w:r>
      <w:r w:rsidR="0053436D">
        <w:rPr>
          <w:rFonts w:ascii="Arial" w:eastAsia="Adobe Gothic Std B" w:hAnsi="Arial" w:cs="Arial"/>
        </w:rPr>
        <w:t xml:space="preserve"> </w:t>
      </w:r>
      <w:r w:rsidR="00E56DB1">
        <w:rPr>
          <w:rFonts w:ascii="Arial" w:eastAsia="Adobe Gothic Std B" w:hAnsi="Arial" w:cs="Arial"/>
        </w:rPr>
        <w:t xml:space="preserve">occur, fill out the table below. </w:t>
      </w:r>
      <w:r w:rsidR="00E56DB1" w:rsidRPr="00E56DB1">
        <w:rPr>
          <w:rFonts w:ascii="Arial" w:eastAsia="Adobe Gothic Std B" w:hAnsi="Arial" w:cs="Aria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2791"/>
        <w:gridCol w:w="4452"/>
        <w:gridCol w:w="3198"/>
        <w:gridCol w:w="4583"/>
      </w:tblGrid>
      <w:tr w:rsidR="00EB3884" w:rsidRPr="006C0290" w14:paraId="7DB57E9F" w14:textId="489A26AF" w:rsidTr="006C0290"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444C4659" w14:textId="69EC24A5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My Indigenous partners are…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D338AFD" w14:textId="1D72CC6E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When and how did the collaboration occur?</w:t>
            </w:r>
          </w:p>
        </w:tc>
        <w:tc>
          <w:tcPr>
            <w:tcW w:w="1289" w:type="pct"/>
            <w:shd w:val="clear" w:color="auto" w:fill="D9D9D9" w:themeFill="background1" w:themeFillShade="D9"/>
            <w:vAlign w:val="center"/>
          </w:tcPr>
          <w:p w14:paraId="27D0896A" w14:textId="746817FC" w:rsidR="00863BD4" w:rsidRPr="006C0290" w:rsidRDefault="00863BD4" w:rsidP="00945352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What was discussed? </w:t>
            </w:r>
            <w:r w:rsidRPr="006C0290">
              <w:rPr>
                <w:rFonts w:ascii="Arial Narrow" w:hAnsi="Arial Narrow" w:cs="Arial"/>
              </w:rPr>
              <w:t>This could include: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8726CBA" w14:textId="3BCA3A41" w:rsidR="00863BD4" w:rsidRPr="006C0290" w:rsidRDefault="00863BD4" w:rsidP="00E56DB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Aspects of Coordinated Access</w:t>
            </w:r>
            <w:r w:rsidR="00827A5E">
              <w:rPr>
                <w:rFonts w:ascii="Arial Narrow" w:hAnsi="Arial Narrow" w:cs="Arial"/>
              </w:rPr>
              <w:t>,</w:t>
            </w:r>
            <w:r w:rsidRPr="006C0290">
              <w:rPr>
                <w:rFonts w:ascii="Arial Narrow" w:hAnsi="Arial Narrow" w:cs="Arial"/>
              </w:rPr>
              <w:t xml:space="preserve"> the HMIS</w:t>
            </w:r>
            <w:r w:rsidR="00827A5E">
              <w:rPr>
                <w:rFonts w:ascii="Arial Narrow" w:hAnsi="Arial Narrow" w:cs="Arial"/>
              </w:rPr>
              <w:t xml:space="preserve"> </w:t>
            </w:r>
            <w:r w:rsidR="00827A5E" w:rsidRPr="006C0290">
              <w:rPr>
                <w:rFonts w:ascii="Arial Narrow" w:hAnsi="Arial Narrow" w:cs="Arial"/>
              </w:rPr>
              <w:t>and/or</w:t>
            </w:r>
            <w:r w:rsidR="00827A5E">
              <w:rPr>
                <w:rFonts w:ascii="Arial Narrow" w:hAnsi="Arial Narrow" w:cs="Arial"/>
              </w:rPr>
              <w:t xml:space="preserve"> the Outcomes-Based Approach</w:t>
            </w:r>
            <w:r w:rsidRPr="006C0290">
              <w:rPr>
                <w:rFonts w:ascii="Arial Narrow" w:hAnsi="Arial Narrow" w:cs="Arial"/>
              </w:rPr>
              <w:t xml:space="preserve"> (Q1.4)</w:t>
            </w:r>
          </w:p>
          <w:p w14:paraId="68C69E08" w14:textId="6E37BD9A" w:rsidR="00863BD4" w:rsidRPr="006C0290" w:rsidRDefault="00863BD4" w:rsidP="00945352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Specific sections of the CHR (Q1.5)</w:t>
            </w:r>
          </w:p>
          <w:p w14:paraId="7D67F0C3" w14:textId="6B71B0B5" w:rsidR="00863BD4" w:rsidRPr="006C0290" w:rsidRDefault="00863BD4" w:rsidP="00E56DB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Approval of the CHR (Q1.6)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14:paraId="178C556A" w14:textId="5B989C23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did Indigenous perspectives influence the outcome?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14:paraId="5CCAE768" w14:textId="240092F8" w:rsidR="00863BD4" w:rsidRPr="006C0290" w:rsidRDefault="00863BD4" w:rsidP="00945352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805ECC" w:rsidRPr="006C0290" w14:paraId="35C2D4C2" w14:textId="6F1C66D5" w:rsidTr="006C0290">
        <w:trPr>
          <w:trHeight w:val="834"/>
        </w:trPr>
        <w:tc>
          <w:tcPr>
            <w:tcW w:w="650" w:type="pct"/>
          </w:tcPr>
          <w:p w14:paraId="36C7A607" w14:textId="5FDFE855" w:rsidR="00805ECC" w:rsidRPr="006C0290" w:rsidRDefault="00505067" w:rsidP="00805ECC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24393595" w14:textId="6FB4455E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41C96334" w14:textId="71D60E9F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65EFA611" w14:textId="3BFBE41F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 w:val="restart"/>
          </w:tcPr>
          <w:p w14:paraId="109EC8E7" w14:textId="29CF9C38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Use this to respond to questions 1.</w:t>
            </w:r>
            <w:r w:rsidR="00827A5E">
              <w:rPr>
                <w:rFonts w:ascii="Arial Narrow" w:hAnsi="Arial Narrow" w:cs="Arial"/>
                <w:b/>
                <w:bCs/>
              </w:rPr>
              <w:t>4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to 1.6 in your CHR.</w:t>
            </w:r>
            <w:r w:rsidRPr="006C0290">
              <w:rPr>
                <w:rFonts w:ascii="Arial Narrow" w:hAnsi="Arial Narrow" w:cs="Arial"/>
              </w:rPr>
              <w:t xml:space="preserve"> More specifically: </w:t>
            </w:r>
          </w:p>
          <w:p w14:paraId="3E7F42A5" w14:textId="50629C3F" w:rsidR="00805ECC" w:rsidRPr="006C0290" w:rsidRDefault="006C0290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</w:t>
            </w:r>
            <w:r w:rsidR="00827A5E">
              <w:rPr>
                <w:rFonts w:ascii="Arial Narrow" w:hAnsi="Arial Narrow" w:cs="Arial"/>
                <w:b/>
                <w:bCs/>
              </w:rPr>
              <w:t>4</w:t>
            </w:r>
            <w:r w:rsidRPr="006C0290">
              <w:rPr>
                <w:rFonts w:ascii="Arial Narrow" w:hAnsi="Arial Narrow" w:cs="Arial"/>
                <w:b/>
                <w:bCs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aspects of CA</w:t>
            </w:r>
            <w:r w:rsidR="00827A5E">
              <w:rPr>
                <w:rFonts w:ascii="Arial Narrow" w:hAnsi="Arial Narrow" w:cs="Arial"/>
              </w:rPr>
              <w:t>,</w:t>
            </w:r>
            <w:r w:rsidR="00805ECC" w:rsidRPr="006C0290">
              <w:rPr>
                <w:rFonts w:ascii="Arial Narrow" w:hAnsi="Arial Narrow" w:cs="Arial"/>
              </w:rPr>
              <w:t xml:space="preserve"> the HMIS </w:t>
            </w:r>
            <w:r w:rsidR="00827A5E">
              <w:rPr>
                <w:rFonts w:ascii="Arial Narrow" w:hAnsi="Arial Narrow" w:cs="Arial"/>
              </w:rPr>
              <w:t xml:space="preserve">and/or OBA </w:t>
            </w:r>
            <w:r w:rsidR="00805ECC" w:rsidRPr="006C0290">
              <w:rPr>
                <w:rFonts w:ascii="Arial Narrow" w:hAnsi="Arial Narrow" w:cs="Arial"/>
              </w:rPr>
              <w:t>were discussed with the IH CE and/or IH CAB</w:t>
            </w:r>
            <w:r w:rsidR="00827A5E">
              <w:rPr>
                <w:rFonts w:ascii="Arial Narrow" w:hAnsi="Arial Narrow" w:cs="Arial"/>
              </w:rPr>
              <w:t xml:space="preserve"> and/or </w:t>
            </w:r>
            <w:r w:rsidR="00805ECC" w:rsidRPr="006C0290">
              <w:rPr>
                <w:rFonts w:ascii="Arial Narrow" w:hAnsi="Arial Narrow" w:cs="Arial"/>
              </w:rPr>
              <w:t xml:space="preserve">other </w:t>
            </w:r>
            <w:r w:rsidR="00827A5E">
              <w:rPr>
                <w:rFonts w:ascii="Arial Narrow" w:hAnsi="Arial Narrow" w:cs="Arial"/>
              </w:rPr>
              <w:t xml:space="preserve">Indigenous </w:t>
            </w:r>
            <w:r w:rsidR="00805ECC" w:rsidRPr="006C0290">
              <w:rPr>
                <w:rFonts w:ascii="Arial Narrow" w:hAnsi="Arial Narrow" w:cs="Arial"/>
              </w:rPr>
              <w:t>partners</w:t>
            </w:r>
          </w:p>
          <w:p w14:paraId="09FAB357" w14:textId="366C5F95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Q1.5: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specific sections of the CHR were discussed</w:t>
            </w:r>
          </w:p>
          <w:p w14:paraId="2FA1E25B" w14:textId="450C9DF9" w:rsidR="00805ECC" w:rsidRPr="006C0290" w:rsidRDefault="006C0290" w:rsidP="00805ECC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i/>
                <w:i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Q1.6b:</w:t>
            </w:r>
            <w:r>
              <w:rPr>
                <w:rFonts w:ascii="Arial Narrow" w:hAnsi="Arial Narrow" w:cs="Arial"/>
              </w:rPr>
              <w:t xml:space="preserve"> </w:t>
            </w:r>
            <w:r w:rsidR="00805ECC" w:rsidRPr="006C0290">
              <w:rPr>
                <w:rFonts w:ascii="Arial Narrow" w:hAnsi="Arial Narrow" w:cs="Arial"/>
              </w:rPr>
              <w:t>Where approval of the IH CAB was received</w:t>
            </w:r>
          </w:p>
        </w:tc>
      </w:tr>
      <w:tr w:rsidR="00805ECC" w:rsidRPr="006C0290" w14:paraId="141AA2B2" w14:textId="707582F7" w:rsidTr="006C0290">
        <w:trPr>
          <w:trHeight w:val="834"/>
        </w:trPr>
        <w:tc>
          <w:tcPr>
            <w:tcW w:w="650" w:type="pct"/>
          </w:tcPr>
          <w:p w14:paraId="0E68F69D" w14:textId="7205BCC3" w:rsidR="00805ECC" w:rsidRPr="006C0290" w:rsidRDefault="00505067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6BC99A3B" w14:textId="683FA12B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302EC84A" w14:textId="43682DC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0DC6864B" w14:textId="2B350FC0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672E29A0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5E7A9C50" w14:textId="70FFCE8A" w:rsidTr="006C0290">
        <w:trPr>
          <w:trHeight w:val="835"/>
        </w:trPr>
        <w:tc>
          <w:tcPr>
            <w:tcW w:w="650" w:type="pct"/>
          </w:tcPr>
          <w:p w14:paraId="5CE04A06" w14:textId="6DDA9C1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2384AD56" w14:textId="5ABE1F26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33FA77F6" w14:textId="6FE99363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2AD8E94B" w14:textId="0E1CA335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20A38829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4F1E609B" w14:textId="3CAB4278" w:rsidTr="006C0290">
        <w:trPr>
          <w:trHeight w:val="834"/>
        </w:trPr>
        <w:tc>
          <w:tcPr>
            <w:tcW w:w="650" w:type="pct"/>
          </w:tcPr>
          <w:p w14:paraId="17EF55E8" w14:textId="5635793A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53BF620C" w14:textId="187640CC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70214C1C" w14:textId="2BDAB30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4871C1A3" w14:textId="4E7D29A2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1121CA91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05ECC" w:rsidRPr="006C0290" w14:paraId="61AABC4E" w14:textId="5864CF67" w:rsidTr="006C0290">
        <w:trPr>
          <w:trHeight w:val="835"/>
        </w:trPr>
        <w:tc>
          <w:tcPr>
            <w:tcW w:w="650" w:type="pct"/>
          </w:tcPr>
          <w:p w14:paraId="5B199CCE" w14:textId="54247B46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808" w:type="pct"/>
          </w:tcPr>
          <w:p w14:paraId="00A160EF" w14:textId="169A0573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289" w:type="pct"/>
          </w:tcPr>
          <w:p w14:paraId="4A1058FC" w14:textId="2DCFB82A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926" w:type="pct"/>
          </w:tcPr>
          <w:p w14:paraId="7032A32C" w14:textId="14D8DD41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1327" w:type="pct"/>
            <w:vMerge/>
          </w:tcPr>
          <w:p w14:paraId="2E757B22" w14:textId="77777777" w:rsidR="00805ECC" w:rsidRPr="006C0290" w:rsidRDefault="00805ECC" w:rsidP="00805ECC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0DBEC1E9" w14:textId="174E1A60" w:rsidR="00225B52" w:rsidRDefault="00225B52" w:rsidP="00BB2DFB">
      <w:pPr>
        <w:spacing w:after="120"/>
        <w:rPr>
          <w:rFonts w:ascii="Arial" w:hAnsi="Arial" w:cs="Arial"/>
        </w:rPr>
      </w:pPr>
    </w:p>
    <w:p w14:paraId="29F4865B" w14:textId="29306D7B" w:rsidR="00E56DB1" w:rsidRPr="00E56DB1" w:rsidRDefault="00863BD4" w:rsidP="0055316C">
      <w:pPr>
        <w:keepNext/>
        <w:spacing w:after="12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lastRenderedPageBreak/>
        <w:t xml:space="preserve">b) </w:t>
      </w:r>
      <w:r w:rsidR="00E56DB1" w:rsidRPr="00E56DB1">
        <w:rPr>
          <w:rFonts w:ascii="Arial" w:eastAsia="Adobe Gothic Std B" w:hAnsi="Arial" w:cs="Arial"/>
        </w:rPr>
        <w:t xml:space="preserve">For each </w:t>
      </w:r>
      <w:r w:rsidR="00E56DB1">
        <w:rPr>
          <w:rFonts w:ascii="Arial" w:eastAsia="Adobe Gothic Std B" w:hAnsi="Arial" w:cs="Arial"/>
        </w:rPr>
        <w:t xml:space="preserve">Indigenous partner identified in Part 1 where collaboration </w:t>
      </w:r>
      <w:r w:rsidR="0053436D" w:rsidRPr="0053436D">
        <w:rPr>
          <w:rFonts w:ascii="Arial" w:eastAsia="Adobe Gothic Std B" w:hAnsi="Arial" w:cs="Arial"/>
          <w:u w:val="single"/>
        </w:rPr>
        <w:t>did not</w:t>
      </w:r>
      <w:r w:rsidR="0053436D">
        <w:rPr>
          <w:rFonts w:ascii="Arial" w:eastAsia="Adobe Gothic Std B" w:hAnsi="Arial" w:cs="Arial"/>
        </w:rPr>
        <w:t xml:space="preserve"> </w:t>
      </w:r>
      <w:r w:rsidR="00E56DB1">
        <w:rPr>
          <w:rFonts w:ascii="Arial" w:eastAsia="Adobe Gothic Std B" w:hAnsi="Arial" w:cs="Arial"/>
        </w:rPr>
        <w:t>occur,</w:t>
      </w:r>
      <w:r w:rsidR="0053436D">
        <w:rPr>
          <w:rFonts w:ascii="Arial" w:eastAsia="Adobe Gothic Std B" w:hAnsi="Arial" w:cs="Arial"/>
        </w:rPr>
        <w:t xml:space="preserve"> </w:t>
      </w:r>
      <w:r w:rsidR="0053436D" w:rsidRPr="00D93143">
        <w:rPr>
          <w:rFonts w:ascii="Arial" w:eastAsia="Adobe Gothic Std B" w:hAnsi="Arial" w:cs="Arial"/>
          <w:u w:val="single"/>
        </w:rPr>
        <w:t>OR</w:t>
      </w:r>
      <w:r w:rsidR="0053436D">
        <w:rPr>
          <w:rFonts w:ascii="Arial" w:eastAsia="Adobe Gothic Std B" w:hAnsi="Arial" w:cs="Arial"/>
        </w:rPr>
        <w:t xml:space="preserve"> if collaboration did not occur at all,</w:t>
      </w:r>
      <w:r w:rsidR="00E56DB1">
        <w:rPr>
          <w:rFonts w:ascii="Arial" w:eastAsia="Adobe Gothic Std B" w:hAnsi="Arial" w:cs="Arial"/>
        </w:rPr>
        <w:t xml:space="preserve"> 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4183"/>
        <w:gridCol w:w="3917"/>
        <w:gridCol w:w="3865"/>
      </w:tblGrid>
      <w:tr w:rsidR="00827A5E" w:rsidRPr="006C0290" w14:paraId="2CE02DA1" w14:textId="77777777" w:rsidTr="0055316C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4D32581" w14:textId="77777777" w:rsidR="00827A5E" w:rsidRPr="006C0290" w:rsidRDefault="00827A5E" w:rsidP="00827A5E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My Indigenous partners are…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52948A" w14:textId="7A23A71E" w:rsidR="00827A5E" w:rsidRPr="006C0290" w:rsidRDefault="00827A5E" w:rsidP="00827A5E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When and how will collaboration occur over the coming year?</w:t>
            </w:r>
          </w:p>
        </w:tc>
        <w:tc>
          <w:tcPr>
            <w:tcW w:w="4183" w:type="dxa"/>
            <w:shd w:val="clear" w:color="auto" w:fill="D9D9D9" w:themeFill="background1" w:themeFillShade="D9"/>
            <w:vAlign w:val="center"/>
          </w:tcPr>
          <w:p w14:paraId="23045567" w14:textId="41E06EB8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 xml:space="preserve">What will be discussed? </w:t>
            </w:r>
            <w:r w:rsidRPr="006C0290">
              <w:rPr>
                <w:rFonts w:ascii="Arial Narrow" w:hAnsi="Arial Narrow" w:cs="Arial"/>
              </w:rPr>
              <w:t>This could include: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84D181F" w14:textId="08E57E13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Aspects of Coordinated Access</w:t>
            </w:r>
            <w:r>
              <w:rPr>
                <w:rFonts w:ascii="Arial Narrow" w:hAnsi="Arial Narrow" w:cs="Arial"/>
              </w:rPr>
              <w:t>,</w:t>
            </w:r>
            <w:r w:rsidRPr="006C0290">
              <w:rPr>
                <w:rFonts w:ascii="Arial Narrow" w:hAnsi="Arial Narrow" w:cs="Arial"/>
              </w:rPr>
              <w:t xml:space="preserve"> the HMIS</w:t>
            </w:r>
            <w:r>
              <w:rPr>
                <w:rFonts w:ascii="Arial Narrow" w:hAnsi="Arial Narrow" w:cs="Arial"/>
              </w:rPr>
              <w:t xml:space="preserve"> and/or the Outcomes-Based Approach</w:t>
            </w:r>
            <w:r w:rsidRPr="006C0290">
              <w:rPr>
                <w:rFonts w:ascii="Arial Narrow" w:hAnsi="Arial Narrow" w:cs="Arial"/>
              </w:rPr>
              <w:t xml:space="preserve"> (Q1.4)</w:t>
            </w:r>
          </w:p>
          <w:p w14:paraId="30224CC4" w14:textId="77777777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Specific sections of the CHR (Q1.5)</w:t>
            </w:r>
          </w:p>
          <w:p w14:paraId="39ECC2AC" w14:textId="73160DF4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</w:rPr>
              <w:t>Approval of the CHR (Q1.6)</w:t>
            </w: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4AF50D96" w14:textId="57AE2B7B" w:rsidR="00827A5E" w:rsidRPr="006C0290" w:rsidRDefault="00827A5E" w:rsidP="00827A5E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  <w:highlight w:val="yellow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did Indigenous perspectives influence the outcome?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61709CF" w14:textId="77777777" w:rsidR="00827A5E" w:rsidRPr="006C0290" w:rsidRDefault="00827A5E" w:rsidP="00827A5E">
            <w:pPr>
              <w:keepNext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How can this help me complete my CHR?</w:t>
            </w:r>
          </w:p>
        </w:tc>
      </w:tr>
      <w:tr w:rsidR="00827A5E" w:rsidRPr="006C0290" w14:paraId="3F9B9372" w14:textId="77777777" w:rsidTr="0055316C">
        <w:trPr>
          <w:trHeight w:val="834"/>
        </w:trPr>
        <w:tc>
          <w:tcPr>
            <w:tcW w:w="2335" w:type="dxa"/>
          </w:tcPr>
          <w:p w14:paraId="6B8E7D99" w14:textId="17B8C16E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54754E9E" w14:textId="51E1B7F8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355DCF0" w14:textId="5EA8D970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0009BF5B" w14:textId="3D1163B5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 w:val="restart"/>
          </w:tcPr>
          <w:p w14:paraId="10FEA335" w14:textId="1CF508F1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Use this to respond to questions 1.</w:t>
            </w:r>
            <w:r>
              <w:rPr>
                <w:rFonts w:ascii="Arial Narrow" w:hAnsi="Arial Narrow" w:cs="Arial"/>
                <w:b/>
                <w:bCs/>
              </w:rPr>
              <w:t>4</w:t>
            </w:r>
            <w:r w:rsidRPr="006C0290">
              <w:rPr>
                <w:rFonts w:ascii="Arial Narrow" w:hAnsi="Arial Narrow" w:cs="Arial"/>
                <w:b/>
                <w:bCs/>
              </w:rPr>
              <w:t xml:space="preserve"> to 1.6 in your CHR.</w:t>
            </w:r>
            <w:r w:rsidRPr="006C0290">
              <w:rPr>
                <w:rFonts w:ascii="Arial Narrow" w:hAnsi="Arial Narrow" w:cs="Arial"/>
              </w:rPr>
              <w:t xml:space="preserve"> More specifically: </w:t>
            </w:r>
          </w:p>
          <w:p w14:paraId="790E28AD" w14:textId="28C67F5F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</w:t>
            </w:r>
            <w:r>
              <w:rPr>
                <w:rFonts w:ascii="Arial Narrow" w:hAnsi="Arial Narrow" w:cs="Arial"/>
                <w:b/>
                <w:bCs/>
              </w:rPr>
              <w:t>4</w:t>
            </w:r>
            <w:r w:rsidRPr="006C0290">
              <w:rPr>
                <w:rFonts w:ascii="Arial Narrow" w:hAnsi="Arial Narrow" w:cs="Arial"/>
                <w:b/>
                <w:bCs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6C0290">
              <w:rPr>
                <w:rFonts w:ascii="Arial Narrow" w:hAnsi="Arial Narrow" w:cs="Arial"/>
              </w:rPr>
              <w:t>Where aspects of CA</w:t>
            </w:r>
            <w:r>
              <w:rPr>
                <w:rFonts w:ascii="Arial Narrow" w:hAnsi="Arial Narrow" w:cs="Arial"/>
              </w:rPr>
              <w:t xml:space="preserve">, </w:t>
            </w:r>
            <w:r w:rsidRPr="006C0290">
              <w:rPr>
                <w:rFonts w:ascii="Arial Narrow" w:hAnsi="Arial Narrow" w:cs="Arial"/>
              </w:rPr>
              <w:t>the HMIS</w:t>
            </w:r>
            <w:r>
              <w:rPr>
                <w:rFonts w:ascii="Arial Narrow" w:hAnsi="Arial Narrow" w:cs="Arial"/>
              </w:rPr>
              <w:t xml:space="preserve"> and/or OBA</w:t>
            </w:r>
            <w:r w:rsidRPr="006C0290">
              <w:rPr>
                <w:rFonts w:ascii="Arial Narrow" w:hAnsi="Arial Narrow" w:cs="Arial"/>
              </w:rPr>
              <w:t xml:space="preserve"> will be discussed with the IH CE and/or IH CAB</w:t>
            </w:r>
            <w:r>
              <w:rPr>
                <w:rFonts w:ascii="Arial Narrow" w:hAnsi="Arial Narrow" w:cs="Arial"/>
              </w:rPr>
              <w:t xml:space="preserve"> and/or </w:t>
            </w:r>
            <w:r w:rsidRPr="006C0290">
              <w:rPr>
                <w:rFonts w:ascii="Arial Narrow" w:hAnsi="Arial Narrow" w:cs="Arial"/>
              </w:rPr>
              <w:t xml:space="preserve">other </w:t>
            </w:r>
            <w:r>
              <w:rPr>
                <w:rFonts w:ascii="Arial Narrow" w:hAnsi="Arial Narrow" w:cs="Arial"/>
              </w:rPr>
              <w:t xml:space="preserve">Indigenous </w:t>
            </w:r>
            <w:r w:rsidRPr="006C0290">
              <w:rPr>
                <w:rFonts w:ascii="Arial Narrow" w:hAnsi="Arial Narrow" w:cs="Arial"/>
              </w:rPr>
              <w:t>partners</w:t>
            </w:r>
          </w:p>
          <w:p w14:paraId="2F3B6749" w14:textId="7541491B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Q1.5:</w:t>
            </w:r>
            <w:r>
              <w:rPr>
                <w:rFonts w:ascii="Arial Narrow" w:hAnsi="Arial Narrow" w:cs="Arial"/>
              </w:rPr>
              <w:t xml:space="preserve"> </w:t>
            </w:r>
            <w:r w:rsidRPr="006C0290">
              <w:rPr>
                <w:rFonts w:ascii="Arial Narrow" w:hAnsi="Arial Narrow" w:cs="Arial"/>
              </w:rPr>
              <w:t>Where specific sections of the CHR will be discussed</w:t>
            </w:r>
          </w:p>
          <w:p w14:paraId="14F6154B" w14:textId="6A55931D" w:rsidR="00827A5E" w:rsidRPr="006C0290" w:rsidRDefault="00827A5E" w:rsidP="00827A5E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Arial Narrow" w:hAnsi="Arial Narrow" w:cs="Arial"/>
                <w:i/>
                <w:iCs/>
              </w:rPr>
            </w:pPr>
            <w:r w:rsidRPr="006C0290">
              <w:rPr>
                <w:rFonts w:ascii="Arial Narrow" w:hAnsi="Arial Narrow" w:cs="Arial"/>
                <w:b/>
                <w:bCs/>
              </w:rPr>
              <w:t>Q1.6b:</w:t>
            </w:r>
            <w:r w:rsidRPr="006C0290">
              <w:rPr>
                <w:rFonts w:ascii="Arial Narrow" w:hAnsi="Arial Narrow" w:cs="Arial"/>
              </w:rPr>
              <w:t xml:space="preserve"> Where approval of the IH CAB will be sought</w:t>
            </w:r>
          </w:p>
        </w:tc>
      </w:tr>
      <w:tr w:rsidR="00827A5E" w:rsidRPr="006C0290" w14:paraId="653DE575" w14:textId="77777777" w:rsidTr="0055316C">
        <w:trPr>
          <w:trHeight w:val="834"/>
        </w:trPr>
        <w:tc>
          <w:tcPr>
            <w:tcW w:w="2335" w:type="dxa"/>
          </w:tcPr>
          <w:p w14:paraId="057F4932" w14:textId="0B65BF8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7F27C7DF" w14:textId="6A17DB15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42BA582" w14:textId="22349519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09792A7F" w14:textId="3CFD9C55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i/>
                <w:iCs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085FFB71" w14:textId="7777777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</w:p>
        </w:tc>
      </w:tr>
      <w:tr w:rsidR="00827A5E" w:rsidRPr="006C0290" w14:paraId="7864D6DD" w14:textId="77777777" w:rsidTr="0055316C">
        <w:trPr>
          <w:trHeight w:val="834"/>
        </w:trPr>
        <w:tc>
          <w:tcPr>
            <w:tcW w:w="2335" w:type="dxa"/>
          </w:tcPr>
          <w:p w14:paraId="4E7454E7" w14:textId="435A3D41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5FEA0F9D" w14:textId="77ECB788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3165D0E1" w14:textId="4F49E334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2A0B0F39" w14:textId="609E1309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0553BC20" w14:textId="7777777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27A5E" w:rsidRPr="006C0290" w14:paraId="6E19812F" w14:textId="77777777" w:rsidTr="0055316C">
        <w:trPr>
          <w:trHeight w:val="835"/>
        </w:trPr>
        <w:tc>
          <w:tcPr>
            <w:tcW w:w="2335" w:type="dxa"/>
          </w:tcPr>
          <w:p w14:paraId="4F93C1D0" w14:textId="4B81664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727F2732" w14:textId="3E3D936D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130F92D1" w14:textId="5B4D8A12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578013E5" w14:textId="48B6CDB3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67882C54" w14:textId="7777777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  <w:tr w:rsidR="00827A5E" w:rsidRPr="006C0290" w14:paraId="68B5175A" w14:textId="77777777" w:rsidTr="0055316C">
        <w:trPr>
          <w:trHeight w:val="834"/>
        </w:trPr>
        <w:tc>
          <w:tcPr>
            <w:tcW w:w="2335" w:type="dxa"/>
          </w:tcPr>
          <w:p w14:paraId="637DCCC7" w14:textId="27FE1ADB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2970" w:type="dxa"/>
          </w:tcPr>
          <w:p w14:paraId="6C25CCED" w14:textId="5A58FA54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4183" w:type="dxa"/>
          </w:tcPr>
          <w:p w14:paraId="013389C0" w14:textId="22886041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917" w:type="dxa"/>
          </w:tcPr>
          <w:p w14:paraId="313842B9" w14:textId="64E15B21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  <w:highlight w:val="yellow"/>
              </w:rPr>
            </w:pPr>
            <w:r w:rsidRPr="006C0290">
              <w:rPr>
                <w:rFonts w:ascii="Arial Narrow" w:hAnsi="Arial Narrow" w:cs="Arial"/>
                <w:highlight w:val="yellow"/>
              </w:rPr>
              <w:t>[community response here]</w:t>
            </w:r>
          </w:p>
        </w:tc>
        <w:tc>
          <w:tcPr>
            <w:tcW w:w="3865" w:type="dxa"/>
            <w:vMerge/>
          </w:tcPr>
          <w:p w14:paraId="566480FC" w14:textId="77777777" w:rsidR="00827A5E" w:rsidRPr="006C0290" w:rsidRDefault="00827A5E" w:rsidP="00827A5E">
            <w:pPr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1DD410A0" w14:textId="77777777" w:rsidR="0055316C" w:rsidRDefault="0055316C">
      <w:pPr>
        <w:spacing w:after="160" w:line="259" w:lineRule="auto"/>
        <w:rPr>
          <w:rFonts w:ascii="Arial" w:hAnsi="Arial" w:cs="Arial"/>
        </w:rPr>
      </w:pPr>
    </w:p>
    <w:sectPr w:rsidR="0055316C" w:rsidSect="00BB2DF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561B" w14:textId="77777777" w:rsidR="009405E5" w:rsidRDefault="009405E5" w:rsidP="0032436A">
      <w:r>
        <w:separator/>
      </w:r>
    </w:p>
  </w:endnote>
  <w:endnote w:type="continuationSeparator" w:id="0">
    <w:p w14:paraId="7D1180C5" w14:textId="77777777" w:rsidR="009405E5" w:rsidRDefault="009405E5" w:rsidP="0032436A">
      <w:r>
        <w:continuationSeparator/>
      </w:r>
    </w:p>
  </w:endnote>
  <w:endnote w:type="continuationNotice" w:id="1">
    <w:p w14:paraId="662DF89B" w14:textId="77777777" w:rsidR="009405E5" w:rsidRDefault="00940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396" w14:textId="77777777" w:rsidR="00EF7853" w:rsidRDefault="00EF7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F92" w14:textId="25AB9A6A" w:rsidR="00B53629" w:rsidRPr="00B53629" w:rsidRDefault="00B53629" w:rsidP="00B53629">
    <w:pPr>
      <w:pStyle w:val="Footer"/>
      <w:jc w:val="right"/>
      <w:rPr>
        <w:rFonts w:ascii="Arial" w:hAnsi="Arial" w:cs="Arial"/>
      </w:rPr>
    </w:pPr>
    <w:r w:rsidRPr="00B53629">
      <w:rPr>
        <w:rFonts w:ascii="Arial" w:hAnsi="Arial" w:cs="Arial"/>
      </w:rPr>
      <w:fldChar w:fldCharType="begin"/>
    </w:r>
    <w:r w:rsidRPr="00B53629">
      <w:rPr>
        <w:rFonts w:ascii="Arial" w:hAnsi="Arial" w:cs="Arial"/>
      </w:rPr>
      <w:instrText xml:space="preserve"> PAGE   \* MERGEFORMAT </w:instrText>
    </w:r>
    <w:r w:rsidRPr="00B53629">
      <w:rPr>
        <w:rFonts w:ascii="Arial" w:hAnsi="Arial" w:cs="Arial"/>
      </w:rPr>
      <w:fldChar w:fldCharType="separate"/>
    </w:r>
    <w:r w:rsidRPr="00B53629">
      <w:rPr>
        <w:rFonts w:ascii="Arial" w:hAnsi="Arial" w:cs="Arial"/>
        <w:noProof/>
      </w:rPr>
      <w:t>1</w:t>
    </w:r>
    <w:r w:rsidRPr="00B53629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89B" w14:textId="77777777" w:rsidR="00EF7853" w:rsidRDefault="00EF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95A4" w14:textId="77777777" w:rsidR="009405E5" w:rsidRDefault="009405E5" w:rsidP="0032436A">
      <w:r>
        <w:separator/>
      </w:r>
    </w:p>
  </w:footnote>
  <w:footnote w:type="continuationSeparator" w:id="0">
    <w:p w14:paraId="67C4471A" w14:textId="77777777" w:rsidR="009405E5" w:rsidRDefault="009405E5" w:rsidP="0032436A">
      <w:r>
        <w:continuationSeparator/>
      </w:r>
    </w:p>
  </w:footnote>
  <w:footnote w:type="continuationNotice" w:id="1">
    <w:p w14:paraId="47E57A7E" w14:textId="77777777" w:rsidR="009405E5" w:rsidRDefault="00940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840A" w14:textId="77777777" w:rsidR="00EF7853" w:rsidRDefault="00EF7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A84C" w14:textId="77777777" w:rsidR="00EF7853" w:rsidRDefault="00EF7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FE1" w14:textId="77777777" w:rsidR="00EF7853" w:rsidRDefault="00EF7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77D"/>
    <w:multiLevelType w:val="hybridMultilevel"/>
    <w:tmpl w:val="CB6C99E6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C69A5"/>
    <w:multiLevelType w:val="hybridMultilevel"/>
    <w:tmpl w:val="169CDEB2"/>
    <w:lvl w:ilvl="0" w:tplc="96604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64D"/>
    <w:multiLevelType w:val="hybridMultilevel"/>
    <w:tmpl w:val="CB7E4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AF5"/>
    <w:multiLevelType w:val="hybridMultilevel"/>
    <w:tmpl w:val="87207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FEC"/>
    <w:multiLevelType w:val="hybridMultilevel"/>
    <w:tmpl w:val="489AD3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6459B"/>
    <w:multiLevelType w:val="hybridMultilevel"/>
    <w:tmpl w:val="FD16D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2F9"/>
    <w:multiLevelType w:val="hybridMultilevel"/>
    <w:tmpl w:val="24D6A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3FB6"/>
    <w:multiLevelType w:val="hybridMultilevel"/>
    <w:tmpl w:val="E8F0C0B4"/>
    <w:lvl w:ilvl="0" w:tplc="6D70C77C">
      <w:start w:val="1"/>
      <w:numFmt w:val="decimal"/>
      <w:lvlText w:val="%1."/>
      <w:lvlJc w:val="left"/>
      <w:pPr>
        <w:ind w:left="1080" w:hanging="360"/>
      </w:pPr>
      <w:rPr>
        <w:rFonts w:ascii="Arial" w:eastAsia="Adobe Gothic Std B" w:hAnsi="Arial" w:cs="Aria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24787"/>
    <w:multiLevelType w:val="hybridMultilevel"/>
    <w:tmpl w:val="9C6C61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93A55"/>
    <w:multiLevelType w:val="hybridMultilevel"/>
    <w:tmpl w:val="3B323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5676"/>
    <w:multiLevelType w:val="hybridMultilevel"/>
    <w:tmpl w:val="2E4C8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2C5F"/>
    <w:multiLevelType w:val="hybridMultilevel"/>
    <w:tmpl w:val="CCE88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37E6"/>
    <w:multiLevelType w:val="hybridMultilevel"/>
    <w:tmpl w:val="8FF29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A2810"/>
    <w:multiLevelType w:val="hybridMultilevel"/>
    <w:tmpl w:val="A6B87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564FD"/>
    <w:multiLevelType w:val="hybridMultilevel"/>
    <w:tmpl w:val="162A9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069899">
    <w:abstractNumId w:val="9"/>
  </w:num>
  <w:num w:numId="2" w16cid:durableId="1230920062">
    <w:abstractNumId w:val="14"/>
  </w:num>
  <w:num w:numId="3" w16cid:durableId="872378317">
    <w:abstractNumId w:val="5"/>
  </w:num>
  <w:num w:numId="4" w16cid:durableId="930747022">
    <w:abstractNumId w:val="10"/>
  </w:num>
  <w:num w:numId="5" w16cid:durableId="1529829329">
    <w:abstractNumId w:val="4"/>
  </w:num>
  <w:num w:numId="6" w16cid:durableId="1146239755">
    <w:abstractNumId w:val="12"/>
  </w:num>
  <w:num w:numId="7" w16cid:durableId="310064162">
    <w:abstractNumId w:val="7"/>
  </w:num>
  <w:num w:numId="8" w16cid:durableId="630745130">
    <w:abstractNumId w:val="8"/>
  </w:num>
  <w:num w:numId="9" w16cid:durableId="1217475957">
    <w:abstractNumId w:val="0"/>
  </w:num>
  <w:num w:numId="10" w16cid:durableId="228196755">
    <w:abstractNumId w:val="3"/>
  </w:num>
  <w:num w:numId="11" w16cid:durableId="1211918724">
    <w:abstractNumId w:val="13"/>
  </w:num>
  <w:num w:numId="12" w16cid:durableId="1173107422">
    <w:abstractNumId w:val="6"/>
  </w:num>
  <w:num w:numId="13" w16cid:durableId="1297685817">
    <w:abstractNumId w:val="1"/>
  </w:num>
  <w:num w:numId="14" w16cid:durableId="96678030">
    <w:abstractNumId w:val="11"/>
  </w:num>
  <w:num w:numId="15" w16cid:durableId="12019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6A"/>
    <w:rsid w:val="0000502C"/>
    <w:rsid w:val="00005B3B"/>
    <w:rsid w:val="00014489"/>
    <w:rsid w:val="000173A9"/>
    <w:rsid w:val="000173F7"/>
    <w:rsid w:val="00023A0D"/>
    <w:rsid w:val="00024045"/>
    <w:rsid w:val="00035A07"/>
    <w:rsid w:val="000418F5"/>
    <w:rsid w:val="00046248"/>
    <w:rsid w:val="0006245A"/>
    <w:rsid w:val="000676BD"/>
    <w:rsid w:val="000723E2"/>
    <w:rsid w:val="0008508E"/>
    <w:rsid w:val="00093495"/>
    <w:rsid w:val="00095686"/>
    <w:rsid w:val="000A769B"/>
    <w:rsid w:val="000C312D"/>
    <w:rsid w:val="000C35B8"/>
    <w:rsid w:val="000C4F9D"/>
    <w:rsid w:val="000D41B0"/>
    <w:rsid w:val="000E5261"/>
    <w:rsid w:val="00106990"/>
    <w:rsid w:val="00112A15"/>
    <w:rsid w:val="00117564"/>
    <w:rsid w:val="00117AE7"/>
    <w:rsid w:val="00120451"/>
    <w:rsid w:val="00137136"/>
    <w:rsid w:val="00153862"/>
    <w:rsid w:val="0017545F"/>
    <w:rsid w:val="00177E18"/>
    <w:rsid w:val="00180F3C"/>
    <w:rsid w:val="00184C65"/>
    <w:rsid w:val="001865F5"/>
    <w:rsid w:val="00192698"/>
    <w:rsid w:val="001930ED"/>
    <w:rsid w:val="00195C51"/>
    <w:rsid w:val="001A1834"/>
    <w:rsid w:val="001A1A9B"/>
    <w:rsid w:val="001B3A97"/>
    <w:rsid w:val="001C19FB"/>
    <w:rsid w:val="001C4C45"/>
    <w:rsid w:val="001D6E6E"/>
    <w:rsid w:val="001F1207"/>
    <w:rsid w:val="001F4E77"/>
    <w:rsid w:val="00211844"/>
    <w:rsid w:val="00216177"/>
    <w:rsid w:val="002201ED"/>
    <w:rsid w:val="00225B52"/>
    <w:rsid w:val="00226B4A"/>
    <w:rsid w:val="00227B79"/>
    <w:rsid w:val="0023195D"/>
    <w:rsid w:val="00245C97"/>
    <w:rsid w:val="002605F2"/>
    <w:rsid w:val="00261B22"/>
    <w:rsid w:val="00263C4D"/>
    <w:rsid w:val="0027368D"/>
    <w:rsid w:val="002847D3"/>
    <w:rsid w:val="00290836"/>
    <w:rsid w:val="00294EFE"/>
    <w:rsid w:val="00296156"/>
    <w:rsid w:val="002A4EFE"/>
    <w:rsid w:val="002A51B5"/>
    <w:rsid w:val="002B623E"/>
    <w:rsid w:val="002B7B48"/>
    <w:rsid w:val="002D044B"/>
    <w:rsid w:val="002D0C91"/>
    <w:rsid w:val="002E5E78"/>
    <w:rsid w:val="002F0A60"/>
    <w:rsid w:val="002F3608"/>
    <w:rsid w:val="00315B6B"/>
    <w:rsid w:val="00316C5F"/>
    <w:rsid w:val="00317605"/>
    <w:rsid w:val="00322892"/>
    <w:rsid w:val="00322D03"/>
    <w:rsid w:val="0032436A"/>
    <w:rsid w:val="00327A53"/>
    <w:rsid w:val="003404DC"/>
    <w:rsid w:val="0034765F"/>
    <w:rsid w:val="00362F0E"/>
    <w:rsid w:val="003644F3"/>
    <w:rsid w:val="00370588"/>
    <w:rsid w:val="0037222C"/>
    <w:rsid w:val="003967A6"/>
    <w:rsid w:val="003A71A4"/>
    <w:rsid w:val="003C45FA"/>
    <w:rsid w:val="003D4C14"/>
    <w:rsid w:val="003E36E6"/>
    <w:rsid w:val="003E4EAF"/>
    <w:rsid w:val="003E75E1"/>
    <w:rsid w:val="003F6EDA"/>
    <w:rsid w:val="003F781B"/>
    <w:rsid w:val="00406A19"/>
    <w:rsid w:val="00430A2C"/>
    <w:rsid w:val="004376DB"/>
    <w:rsid w:val="00437F0C"/>
    <w:rsid w:val="00441CAE"/>
    <w:rsid w:val="004457AC"/>
    <w:rsid w:val="0045333D"/>
    <w:rsid w:val="0046584D"/>
    <w:rsid w:val="00466655"/>
    <w:rsid w:val="00480163"/>
    <w:rsid w:val="00482D9A"/>
    <w:rsid w:val="004930F6"/>
    <w:rsid w:val="00493DBF"/>
    <w:rsid w:val="004A13A9"/>
    <w:rsid w:val="004A17BD"/>
    <w:rsid w:val="004A365D"/>
    <w:rsid w:val="004A3BAA"/>
    <w:rsid w:val="004A4CA9"/>
    <w:rsid w:val="004A6871"/>
    <w:rsid w:val="004B0504"/>
    <w:rsid w:val="004B3DAD"/>
    <w:rsid w:val="004B66FE"/>
    <w:rsid w:val="004C2C53"/>
    <w:rsid w:val="004E7E84"/>
    <w:rsid w:val="00505067"/>
    <w:rsid w:val="005124F9"/>
    <w:rsid w:val="00514996"/>
    <w:rsid w:val="00520F30"/>
    <w:rsid w:val="0052288F"/>
    <w:rsid w:val="00522D38"/>
    <w:rsid w:val="00530FF0"/>
    <w:rsid w:val="0053436D"/>
    <w:rsid w:val="005366F5"/>
    <w:rsid w:val="0054110D"/>
    <w:rsid w:val="00541E1A"/>
    <w:rsid w:val="0055087E"/>
    <w:rsid w:val="00550B74"/>
    <w:rsid w:val="0055316C"/>
    <w:rsid w:val="00556379"/>
    <w:rsid w:val="00575CFF"/>
    <w:rsid w:val="00587B48"/>
    <w:rsid w:val="00591A42"/>
    <w:rsid w:val="005C43BC"/>
    <w:rsid w:val="005C610C"/>
    <w:rsid w:val="005E4769"/>
    <w:rsid w:val="005E47B9"/>
    <w:rsid w:val="005E6176"/>
    <w:rsid w:val="005E6D8E"/>
    <w:rsid w:val="005F4550"/>
    <w:rsid w:val="005F7B8C"/>
    <w:rsid w:val="00602286"/>
    <w:rsid w:val="00606125"/>
    <w:rsid w:val="0060777E"/>
    <w:rsid w:val="00613C88"/>
    <w:rsid w:val="00615474"/>
    <w:rsid w:val="00625580"/>
    <w:rsid w:val="0063126B"/>
    <w:rsid w:val="006448A3"/>
    <w:rsid w:val="00650597"/>
    <w:rsid w:val="00651247"/>
    <w:rsid w:val="006519A8"/>
    <w:rsid w:val="00653FC0"/>
    <w:rsid w:val="00666F0A"/>
    <w:rsid w:val="00676714"/>
    <w:rsid w:val="006823FE"/>
    <w:rsid w:val="006913FB"/>
    <w:rsid w:val="006919B5"/>
    <w:rsid w:val="00694815"/>
    <w:rsid w:val="006970F2"/>
    <w:rsid w:val="006C0290"/>
    <w:rsid w:val="006C0366"/>
    <w:rsid w:val="006C63E4"/>
    <w:rsid w:val="006E5C93"/>
    <w:rsid w:val="006F2C7F"/>
    <w:rsid w:val="006F76E7"/>
    <w:rsid w:val="00701DDB"/>
    <w:rsid w:val="00705B23"/>
    <w:rsid w:val="00706AC1"/>
    <w:rsid w:val="007108A8"/>
    <w:rsid w:val="007153E8"/>
    <w:rsid w:val="007460FE"/>
    <w:rsid w:val="00762C8A"/>
    <w:rsid w:val="00767A10"/>
    <w:rsid w:val="0077691E"/>
    <w:rsid w:val="00781234"/>
    <w:rsid w:val="00795DCD"/>
    <w:rsid w:val="007977FB"/>
    <w:rsid w:val="007A1B21"/>
    <w:rsid w:val="007A7033"/>
    <w:rsid w:val="007B05C1"/>
    <w:rsid w:val="007C2309"/>
    <w:rsid w:val="007C578B"/>
    <w:rsid w:val="007D4A2A"/>
    <w:rsid w:val="007E0A96"/>
    <w:rsid w:val="007E7341"/>
    <w:rsid w:val="007E7D1A"/>
    <w:rsid w:val="007F024B"/>
    <w:rsid w:val="007F07A9"/>
    <w:rsid w:val="007F5AD7"/>
    <w:rsid w:val="007F7A6D"/>
    <w:rsid w:val="00804208"/>
    <w:rsid w:val="00805ECC"/>
    <w:rsid w:val="008174F0"/>
    <w:rsid w:val="008271DB"/>
    <w:rsid w:val="00827A5E"/>
    <w:rsid w:val="00843E3F"/>
    <w:rsid w:val="008478DD"/>
    <w:rsid w:val="008563E7"/>
    <w:rsid w:val="00860D24"/>
    <w:rsid w:val="00863BD4"/>
    <w:rsid w:val="00874457"/>
    <w:rsid w:val="008752EE"/>
    <w:rsid w:val="0089716F"/>
    <w:rsid w:val="00897D99"/>
    <w:rsid w:val="008A390A"/>
    <w:rsid w:val="008B64CF"/>
    <w:rsid w:val="008B7E4C"/>
    <w:rsid w:val="008C02B9"/>
    <w:rsid w:val="008C602E"/>
    <w:rsid w:val="008C72EC"/>
    <w:rsid w:val="008C7859"/>
    <w:rsid w:val="008D1783"/>
    <w:rsid w:val="008E707A"/>
    <w:rsid w:val="008E730C"/>
    <w:rsid w:val="00914533"/>
    <w:rsid w:val="0091534D"/>
    <w:rsid w:val="00916DFD"/>
    <w:rsid w:val="0092101F"/>
    <w:rsid w:val="00935E16"/>
    <w:rsid w:val="00935FC9"/>
    <w:rsid w:val="009405E5"/>
    <w:rsid w:val="00941B87"/>
    <w:rsid w:val="00945352"/>
    <w:rsid w:val="00946DA3"/>
    <w:rsid w:val="00946E23"/>
    <w:rsid w:val="00947A4B"/>
    <w:rsid w:val="00957110"/>
    <w:rsid w:val="00963D7D"/>
    <w:rsid w:val="00973D24"/>
    <w:rsid w:val="00990804"/>
    <w:rsid w:val="00991996"/>
    <w:rsid w:val="00992ED4"/>
    <w:rsid w:val="009943FD"/>
    <w:rsid w:val="009A324A"/>
    <w:rsid w:val="009B5F3F"/>
    <w:rsid w:val="009C446F"/>
    <w:rsid w:val="009D0045"/>
    <w:rsid w:val="009D049B"/>
    <w:rsid w:val="009D23B7"/>
    <w:rsid w:val="009D765E"/>
    <w:rsid w:val="009E4476"/>
    <w:rsid w:val="009E6E21"/>
    <w:rsid w:val="009E739F"/>
    <w:rsid w:val="009F74C1"/>
    <w:rsid w:val="009F7868"/>
    <w:rsid w:val="00A067DD"/>
    <w:rsid w:val="00A074AB"/>
    <w:rsid w:val="00A124A6"/>
    <w:rsid w:val="00A1252C"/>
    <w:rsid w:val="00A130E9"/>
    <w:rsid w:val="00A13907"/>
    <w:rsid w:val="00A14B72"/>
    <w:rsid w:val="00A2199F"/>
    <w:rsid w:val="00A224E3"/>
    <w:rsid w:val="00A25E23"/>
    <w:rsid w:val="00A268B6"/>
    <w:rsid w:val="00A26F91"/>
    <w:rsid w:val="00A325F2"/>
    <w:rsid w:val="00A540D9"/>
    <w:rsid w:val="00A63C3F"/>
    <w:rsid w:val="00A72AC9"/>
    <w:rsid w:val="00A75DF7"/>
    <w:rsid w:val="00A81E72"/>
    <w:rsid w:val="00AA20A8"/>
    <w:rsid w:val="00AB0EDA"/>
    <w:rsid w:val="00AC20EB"/>
    <w:rsid w:val="00AC6CD7"/>
    <w:rsid w:val="00AF6434"/>
    <w:rsid w:val="00B06526"/>
    <w:rsid w:val="00B12A6A"/>
    <w:rsid w:val="00B1488B"/>
    <w:rsid w:val="00B14D6C"/>
    <w:rsid w:val="00B16FEA"/>
    <w:rsid w:val="00B20268"/>
    <w:rsid w:val="00B31754"/>
    <w:rsid w:val="00B329BF"/>
    <w:rsid w:val="00B4211E"/>
    <w:rsid w:val="00B45561"/>
    <w:rsid w:val="00B52143"/>
    <w:rsid w:val="00B52DB2"/>
    <w:rsid w:val="00B52F9E"/>
    <w:rsid w:val="00B53629"/>
    <w:rsid w:val="00B55594"/>
    <w:rsid w:val="00B60A93"/>
    <w:rsid w:val="00B6110D"/>
    <w:rsid w:val="00B66653"/>
    <w:rsid w:val="00B6710A"/>
    <w:rsid w:val="00B675E7"/>
    <w:rsid w:val="00B71545"/>
    <w:rsid w:val="00B752CC"/>
    <w:rsid w:val="00B755B6"/>
    <w:rsid w:val="00B871E2"/>
    <w:rsid w:val="00B90AB8"/>
    <w:rsid w:val="00BA047B"/>
    <w:rsid w:val="00BB2DFB"/>
    <w:rsid w:val="00BB3E41"/>
    <w:rsid w:val="00BB7D02"/>
    <w:rsid w:val="00BC6F3D"/>
    <w:rsid w:val="00BD208E"/>
    <w:rsid w:val="00BD58F6"/>
    <w:rsid w:val="00BE1139"/>
    <w:rsid w:val="00BE1271"/>
    <w:rsid w:val="00BE1CE3"/>
    <w:rsid w:val="00BE4445"/>
    <w:rsid w:val="00BE658C"/>
    <w:rsid w:val="00BF7ADF"/>
    <w:rsid w:val="00C040E6"/>
    <w:rsid w:val="00C07093"/>
    <w:rsid w:val="00C118CC"/>
    <w:rsid w:val="00C1715D"/>
    <w:rsid w:val="00C25DDC"/>
    <w:rsid w:val="00C35E91"/>
    <w:rsid w:val="00C40DCC"/>
    <w:rsid w:val="00C41D49"/>
    <w:rsid w:val="00C44089"/>
    <w:rsid w:val="00C47F93"/>
    <w:rsid w:val="00C52265"/>
    <w:rsid w:val="00C60EB0"/>
    <w:rsid w:val="00C61D7E"/>
    <w:rsid w:val="00C658FD"/>
    <w:rsid w:val="00C71541"/>
    <w:rsid w:val="00C77319"/>
    <w:rsid w:val="00C85A77"/>
    <w:rsid w:val="00C86A05"/>
    <w:rsid w:val="00C947CA"/>
    <w:rsid w:val="00CA23A0"/>
    <w:rsid w:val="00CA3725"/>
    <w:rsid w:val="00CA4308"/>
    <w:rsid w:val="00CA47CE"/>
    <w:rsid w:val="00CA59FB"/>
    <w:rsid w:val="00CB78F9"/>
    <w:rsid w:val="00CC2D64"/>
    <w:rsid w:val="00CC54A8"/>
    <w:rsid w:val="00CD5A4A"/>
    <w:rsid w:val="00CE0B97"/>
    <w:rsid w:val="00CE3AC6"/>
    <w:rsid w:val="00CE4EC4"/>
    <w:rsid w:val="00CE6E96"/>
    <w:rsid w:val="00CF4C22"/>
    <w:rsid w:val="00CF698C"/>
    <w:rsid w:val="00CF7614"/>
    <w:rsid w:val="00CF79AF"/>
    <w:rsid w:val="00D01670"/>
    <w:rsid w:val="00D064BE"/>
    <w:rsid w:val="00D07F01"/>
    <w:rsid w:val="00D104A1"/>
    <w:rsid w:val="00D1314D"/>
    <w:rsid w:val="00D1399C"/>
    <w:rsid w:val="00D2070C"/>
    <w:rsid w:val="00D20A64"/>
    <w:rsid w:val="00D20DE1"/>
    <w:rsid w:val="00D219D5"/>
    <w:rsid w:val="00D27381"/>
    <w:rsid w:val="00D40454"/>
    <w:rsid w:val="00D40F28"/>
    <w:rsid w:val="00D43FF0"/>
    <w:rsid w:val="00D51BF1"/>
    <w:rsid w:val="00D522FD"/>
    <w:rsid w:val="00D5449B"/>
    <w:rsid w:val="00D56790"/>
    <w:rsid w:val="00D6099B"/>
    <w:rsid w:val="00D64AED"/>
    <w:rsid w:val="00D72AA8"/>
    <w:rsid w:val="00D7479E"/>
    <w:rsid w:val="00D81372"/>
    <w:rsid w:val="00D8370D"/>
    <w:rsid w:val="00D8767C"/>
    <w:rsid w:val="00D91321"/>
    <w:rsid w:val="00D927E4"/>
    <w:rsid w:val="00D93143"/>
    <w:rsid w:val="00D93221"/>
    <w:rsid w:val="00DA3680"/>
    <w:rsid w:val="00DB4880"/>
    <w:rsid w:val="00DB5237"/>
    <w:rsid w:val="00DB5ACA"/>
    <w:rsid w:val="00DC1BAE"/>
    <w:rsid w:val="00DD3D6E"/>
    <w:rsid w:val="00DE634D"/>
    <w:rsid w:val="00DE751C"/>
    <w:rsid w:val="00DF1AF3"/>
    <w:rsid w:val="00E02E51"/>
    <w:rsid w:val="00E07316"/>
    <w:rsid w:val="00E30FA1"/>
    <w:rsid w:val="00E56CE4"/>
    <w:rsid w:val="00E56DB1"/>
    <w:rsid w:val="00E635CB"/>
    <w:rsid w:val="00E730C2"/>
    <w:rsid w:val="00E738D3"/>
    <w:rsid w:val="00E75175"/>
    <w:rsid w:val="00E82D60"/>
    <w:rsid w:val="00E82FFF"/>
    <w:rsid w:val="00E90C16"/>
    <w:rsid w:val="00E979A9"/>
    <w:rsid w:val="00EA0FB7"/>
    <w:rsid w:val="00EA5154"/>
    <w:rsid w:val="00EA554C"/>
    <w:rsid w:val="00EB3884"/>
    <w:rsid w:val="00ED38DE"/>
    <w:rsid w:val="00EE437F"/>
    <w:rsid w:val="00EF0BCF"/>
    <w:rsid w:val="00EF7853"/>
    <w:rsid w:val="00F01D60"/>
    <w:rsid w:val="00F01DFC"/>
    <w:rsid w:val="00F046F3"/>
    <w:rsid w:val="00F07344"/>
    <w:rsid w:val="00F10287"/>
    <w:rsid w:val="00F11558"/>
    <w:rsid w:val="00F13E69"/>
    <w:rsid w:val="00F30FCD"/>
    <w:rsid w:val="00F3367A"/>
    <w:rsid w:val="00F356EE"/>
    <w:rsid w:val="00F36762"/>
    <w:rsid w:val="00F37D47"/>
    <w:rsid w:val="00F40CD7"/>
    <w:rsid w:val="00F47565"/>
    <w:rsid w:val="00F511BD"/>
    <w:rsid w:val="00F55140"/>
    <w:rsid w:val="00F6194C"/>
    <w:rsid w:val="00F64C9C"/>
    <w:rsid w:val="00F714F8"/>
    <w:rsid w:val="00F8024B"/>
    <w:rsid w:val="00F877E0"/>
    <w:rsid w:val="00F9499F"/>
    <w:rsid w:val="00FB065C"/>
    <w:rsid w:val="00FB10F4"/>
    <w:rsid w:val="00FB2B4F"/>
    <w:rsid w:val="00FB2F3E"/>
    <w:rsid w:val="00FB4AD6"/>
    <w:rsid w:val="00FD6B65"/>
    <w:rsid w:val="00FE44F0"/>
    <w:rsid w:val="00FF05C7"/>
    <w:rsid w:val="00FF12D9"/>
    <w:rsid w:val="00FF42D3"/>
    <w:rsid w:val="00FF58F8"/>
    <w:rsid w:val="0EB437A9"/>
    <w:rsid w:val="1D673AB0"/>
    <w:rsid w:val="2D3F0803"/>
    <w:rsid w:val="42E59ABB"/>
    <w:rsid w:val="465A3C69"/>
    <w:rsid w:val="4F1AF227"/>
    <w:rsid w:val="4FDF239D"/>
    <w:rsid w:val="56DFAD2B"/>
    <w:rsid w:val="587EEDDA"/>
    <w:rsid w:val="5B1A6A41"/>
    <w:rsid w:val="5E397A18"/>
    <w:rsid w:val="66D7FAFE"/>
    <w:rsid w:val="6DC7449C"/>
    <w:rsid w:val="70ED8BF5"/>
    <w:rsid w:val="7C11F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F6D0C"/>
  <w15:chartTrackingRefBased/>
  <w15:docId w15:val="{294CDB1C-FB41-49C1-9EA9-E45FED5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A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36A"/>
    <w:rPr>
      <w:sz w:val="20"/>
      <w:szCs w:val="20"/>
      <w:lang w:val="en-US"/>
    </w:rPr>
  </w:style>
  <w:style w:type="paragraph" w:styleId="ListParagraph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ListParagraphChar"/>
    <w:uiPriority w:val="34"/>
    <w:qFormat/>
    <w:rsid w:val="001F1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A55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0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F9D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60612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3221"/>
    <w:pPr>
      <w:spacing w:after="0" w:line="240" w:lineRule="auto"/>
    </w:pPr>
    <w:rPr>
      <w:sz w:val="24"/>
      <w:szCs w:val="24"/>
      <w:lang w:val="en-US"/>
    </w:rPr>
  </w:style>
  <w:style w:type="character" w:customStyle="1" w:styleId="ListParagraphChar">
    <w:name w:val="List Paragraph Char"/>
    <w:aliases w:val="table bullets Char,Colorful List - Accent 11 Char,List Paragraph no indent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B4211E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4D6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A71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3A71A4"/>
  </w:style>
  <w:style w:type="character" w:customStyle="1" w:styleId="eop">
    <w:name w:val="eop"/>
    <w:basedOn w:val="DefaultParagraphFont"/>
    <w:rsid w:val="003A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fn.ca/about-afn/provincial-territorial-organiza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omelessnesslearninghub.ca/library/resources/reaching-home-community-homelessness-report-reporting-tools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nafc.ca/friendship-centres/find-a-friendship-centre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lessnesslearninghub.ca/library/resources/reaching-home-community-homelessness-report-reporting-tools/" TargetMode="External"/><Relationship Id="rId24" Type="http://schemas.openxmlformats.org/officeDocument/2006/relationships/hyperlink" Target="https://www.infrastructure.gc.ca/homelessness-sans-abri/communities-communautes/find-trouver-e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rcaanc-cirnac.gc.ca/eng/1100100013785/15291024903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frastructure.gc.ca/homelessness-sans-abri/communities-communautes/find-trouver-eng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abo-peopl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F774D35E1049AB5BAA2DCEF86C74" ma:contentTypeVersion="7" ma:contentTypeDescription="Create a new document." ma:contentTypeScope="" ma:versionID="8b0d0b27f96c267bfd0f4cd16218ad07">
  <xsd:schema xmlns:xsd="http://www.w3.org/2001/XMLSchema" xmlns:xs="http://www.w3.org/2001/XMLSchema" xmlns:p="http://schemas.microsoft.com/office/2006/metadata/properties" xmlns:ns3="f448376b-f0f6-4403-b3bb-b00687fa396d" xmlns:ns4="854fc7a8-a396-4ef5-b9b0-ff4f75b63245" targetNamespace="http://schemas.microsoft.com/office/2006/metadata/properties" ma:root="true" ma:fieldsID="acdb841408b08f9de35a9733528ee91c" ns3:_="" ns4:_="">
    <xsd:import namespace="f448376b-f0f6-4403-b3bb-b00687fa396d"/>
    <xsd:import namespace="854fc7a8-a396-4ef5-b9b0-ff4f75b63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376b-f0f6-4403-b3bb-b00687fa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c7a8-a396-4ef5-b9b0-ff4f75b63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87F19-593E-46F2-8640-9C1E88927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79209-F698-4E7A-82E5-EF697DB39F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7F85C-41E6-4289-BFEC-8D0DB43A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3EB15C-9300-4DC7-9B47-C7601AB8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8376b-f0f6-4403-b3bb-b00687fa396d"/>
    <ds:schemaRef ds:uri="854fc7a8-a396-4ef5-b9b0-ff4f75b63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Pye</dc:creator>
  <cp:keywords/>
  <dc:description/>
  <cp:lastModifiedBy>Ariel Haertel</cp:lastModifiedBy>
  <cp:revision>2</cp:revision>
  <dcterms:created xsi:type="dcterms:W3CDTF">2024-03-14T15:15:00Z</dcterms:created>
  <dcterms:modified xsi:type="dcterms:W3CDTF">2024-03-14T15:15:00Z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2022-08-17T15:17:04Z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a147f1dc-ee11-41ec-b51b-dd7639701d76</vt:lpwstr>
  </property>
  <property fmtid="{D5CDD505-2E9C-101B-9397-08002B2CF9AE}" pid="8" name="MSIP_Label_9dacc104-dfa0-47ae-bf90-8b8a399431b6_ContentBits">
    <vt:lpwstr>0</vt:lpwstr>
  </property>
  <property fmtid="{D5CDD505-2E9C-101B-9397-08002B2CF9AE}" pid="9" name="ContentTypeId">
    <vt:lpwstr>0x0101008C0AF774D35E1049AB5BAA2DCEF86C74</vt:lpwstr>
  </property>
  <property fmtid="{D5CDD505-2E9C-101B-9397-08002B2CF9AE}" pid="10" name="_AdHocReviewCycleID">
    <vt:i4>-1405817634</vt:i4>
  </property>
  <property fmtid="{D5CDD505-2E9C-101B-9397-08002B2CF9AE}" pid="11" name="_NewReviewCycle">
    <vt:lpwstr/>
  </property>
  <property fmtid="{D5CDD505-2E9C-101B-9397-08002B2CF9AE}" pid="12" name="_EmailSubject">
    <vt:lpwstr>For Update: HLH CHR Reporting Tools e-course 2023-24</vt:lpwstr>
  </property>
  <property fmtid="{D5CDD505-2E9C-101B-9397-08002B2CF9AE}" pid="13" name="_AuthorEmail">
    <vt:lpwstr>Padraic.Berting@infc.gc.ca</vt:lpwstr>
  </property>
  <property fmtid="{D5CDD505-2E9C-101B-9397-08002B2CF9AE}" pid="14" name="_AuthorEmailDisplayName">
    <vt:lpwstr>Padraic Berting</vt:lpwstr>
  </property>
  <property fmtid="{D5CDD505-2E9C-101B-9397-08002B2CF9AE}" pid="16" name="_PreviousAdHocReviewCycleID">
    <vt:i4>1989762181</vt:i4>
  </property>
</Properties>
</file>