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0BF8D" w14:textId="77777777" w:rsidR="006E6715" w:rsidRDefault="006E6715" w:rsidP="006E6715">
      <w:pPr>
        <w:pStyle w:val="Title"/>
        <w:jc w:val="right"/>
      </w:pPr>
      <w:r>
        <w:t>Reaching Home | Everyone Counts 2021</w:t>
      </w:r>
    </w:p>
    <w:p w14:paraId="538653C2" w14:textId="77777777" w:rsidR="006E6715" w:rsidRDefault="006E6715" w:rsidP="006E6715">
      <w:pPr>
        <w:pStyle w:val="Title"/>
        <w:jc w:val="right"/>
        <w:rPr>
          <w:b/>
          <w:color w:val="C45911" w:themeColor="accent2" w:themeShade="BF"/>
          <w:sz w:val="40"/>
          <w:szCs w:val="40"/>
        </w:rPr>
      </w:pPr>
      <w:r w:rsidRPr="005D61BE">
        <w:rPr>
          <w:b/>
          <w:color w:val="C45911" w:themeColor="accent2" w:themeShade="BF"/>
          <w:sz w:val="40"/>
          <w:szCs w:val="40"/>
        </w:rPr>
        <w:t xml:space="preserve">Questions and Answers from the </w:t>
      </w:r>
      <w:r>
        <w:rPr>
          <w:b/>
          <w:color w:val="C45911" w:themeColor="accent2" w:themeShade="BF"/>
          <w:sz w:val="40"/>
          <w:szCs w:val="40"/>
        </w:rPr>
        <w:t>Everyone Counts 2021 Webinar</w:t>
      </w:r>
      <w:r w:rsidRPr="006E6715">
        <w:rPr>
          <w:b/>
          <w:color w:val="C45911" w:themeColor="accent2" w:themeShade="BF"/>
          <w:sz w:val="40"/>
          <w:szCs w:val="40"/>
        </w:rPr>
        <w:t>: Implementing an LGBTQ2S Inclusive and Affirming PiT Count p</w:t>
      </w:r>
      <w:r>
        <w:rPr>
          <w:b/>
          <w:color w:val="C45911" w:themeColor="accent2" w:themeShade="BF"/>
          <w:sz w:val="40"/>
          <w:szCs w:val="40"/>
        </w:rPr>
        <w:t>resented by Dr. Alex Abramovich</w:t>
      </w:r>
    </w:p>
    <w:p w14:paraId="51EA1B0B" w14:textId="08A20C7E" w:rsidR="006E6715" w:rsidRDefault="006E6715" w:rsidP="006E6715">
      <w:pPr>
        <w:pStyle w:val="Title"/>
        <w:jc w:val="right"/>
        <w:rPr>
          <w:b/>
        </w:rPr>
      </w:pPr>
      <w:r w:rsidRPr="006E6715">
        <w:rPr>
          <w:b/>
          <w:sz w:val="22"/>
          <w:szCs w:val="22"/>
        </w:rPr>
        <w:t>February 17</w:t>
      </w:r>
      <w:r w:rsidRPr="005D61BE">
        <w:rPr>
          <w:b/>
          <w:sz w:val="22"/>
          <w:szCs w:val="22"/>
        </w:rPr>
        <w:t>, 2021</w:t>
      </w:r>
    </w:p>
    <w:p w14:paraId="1D1C537C" w14:textId="77777777" w:rsidR="006E6715" w:rsidRPr="005D61BE" w:rsidRDefault="006E6715" w:rsidP="006E6715">
      <w:pPr>
        <w:ind w:left="6480"/>
      </w:pPr>
    </w:p>
    <w:p w14:paraId="598FAB56" w14:textId="0F653560" w:rsidR="00277B46" w:rsidRPr="006E6715" w:rsidRDefault="006E6715" w:rsidP="006E6715">
      <w:pPr>
        <w:jc w:val="center"/>
        <w:rPr>
          <w:b/>
        </w:rPr>
      </w:pPr>
      <w:r w:rsidRPr="00A0518E">
        <w:rPr>
          <w:sz w:val="24"/>
          <w:szCs w:val="24"/>
        </w:rPr>
        <w:t xml:space="preserve">The following is a summary of the questions and answers we received during the </w:t>
      </w:r>
      <w:r w:rsidRPr="006E6715">
        <w:rPr>
          <w:sz w:val="24"/>
          <w:szCs w:val="24"/>
        </w:rPr>
        <w:t xml:space="preserve">Implementing an LGBTQ2S Inclusive and Affirming PiT Count </w:t>
      </w:r>
      <w:r>
        <w:rPr>
          <w:sz w:val="24"/>
          <w:szCs w:val="24"/>
        </w:rPr>
        <w:t>webinar</w:t>
      </w:r>
      <w:r w:rsidR="00277B46" w:rsidRPr="00E43662">
        <w:rPr>
          <w:color w:val="000000"/>
        </w:rPr>
        <w:t> </w:t>
      </w:r>
    </w:p>
    <w:p w14:paraId="77ACF58E" w14:textId="77777777" w:rsidR="00231CFD" w:rsidRPr="00E43662" w:rsidRDefault="00231CFD" w:rsidP="00277B46">
      <w:pPr>
        <w:ind w:left="360"/>
        <w:rPr>
          <w:color w:val="000000"/>
        </w:rPr>
      </w:pPr>
    </w:p>
    <w:p w14:paraId="41553755" w14:textId="18DD7BCF" w:rsidR="00231CFD" w:rsidRPr="0052003B" w:rsidRDefault="00231CFD" w:rsidP="00231CFD">
      <w:pPr>
        <w:rPr>
          <w:u w:val="single"/>
        </w:rPr>
      </w:pPr>
      <w:r w:rsidRPr="0052003B">
        <w:rPr>
          <w:u w:val="single"/>
        </w:rPr>
        <w:t xml:space="preserve">Here are </w:t>
      </w:r>
      <w:r w:rsidR="00A52893" w:rsidRPr="0052003B">
        <w:rPr>
          <w:u w:val="single"/>
        </w:rPr>
        <w:t>links to relevant</w:t>
      </w:r>
      <w:r w:rsidRPr="0052003B">
        <w:rPr>
          <w:u w:val="single"/>
        </w:rPr>
        <w:t xml:space="preserve"> resources: </w:t>
      </w:r>
    </w:p>
    <w:p w14:paraId="7D387D56" w14:textId="77777777" w:rsidR="00231CFD" w:rsidRPr="00E43662" w:rsidRDefault="00231CFD" w:rsidP="00231CFD">
      <w:r w:rsidRPr="00E43662">
        <w:t xml:space="preserve">PiT Count slack page: </w:t>
      </w:r>
      <w:bookmarkStart w:id="0" w:name="_GoBack"/>
      <w:r w:rsidR="0052003B">
        <w:fldChar w:fldCharType="begin"/>
      </w:r>
      <w:r w:rsidR="0052003B">
        <w:instrText xml:space="preserve"> HYPERLINK "https://app.slack.com/client/TTLKY</w:instrText>
      </w:r>
      <w:r w:rsidR="0052003B">
        <w:instrText xml:space="preserve">1VT9/CT8KDKMKK/details/actions" </w:instrText>
      </w:r>
      <w:r w:rsidR="0052003B">
        <w:fldChar w:fldCharType="separate"/>
      </w:r>
      <w:r w:rsidRPr="00E43662">
        <w:rPr>
          <w:rStyle w:val="Hyperlink"/>
        </w:rPr>
        <w:t>Slack</w:t>
      </w:r>
      <w:r w:rsidR="0052003B">
        <w:rPr>
          <w:rStyle w:val="Hyperlink"/>
        </w:rPr>
        <w:fldChar w:fldCharType="end"/>
      </w:r>
      <w:bookmarkEnd w:id="0"/>
    </w:p>
    <w:p w14:paraId="7B2D34B0" w14:textId="52CCE95E" w:rsidR="00231CFD" w:rsidRPr="00E43662" w:rsidRDefault="006E6715" w:rsidP="00231CFD">
      <w:r>
        <w:t>Creating LGBTQ2S Inclusive</w:t>
      </w:r>
      <w:r w:rsidR="00231CFD" w:rsidRPr="00E43662">
        <w:t xml:space="preserve">, Affirming, and Safe Homeless Counts : </w:t>
      </w:r>
      <w:hyperlink r:id="rId8" w:history="1">
        <w:r w:rsidR="00231CFD" w:rsidRPr="00E43662">
          <w:rPr>
            <w:rStyle w:val="Hyperlink"/>
          </w:rPr>
          <w:t>Video: Creating LGBTQ2S Inclusive, Affirming, and Safe Homeless Counts | Homelessness Learning Hub</w:t>
        </w:r>
      </w:hyperlink>
    </w:p>
    <w:p w14:paraId="104B4C3C" w14:textId="77777777" w:rsidR="00231CFD" w:rsidRPr="00E43662" w:rsidRDefault="00231CFD" w:rsidP="00231CFD">
      <w:r w:rsidRPr="00E43662">
        <w:t xml:space="preserve">Creating LGBTQ2S Inclusive, Affirming, and Safe PiT Counts Toolkit : </w:t>
      </w:r>
      <w:hyperlink r:id="rId9" w:history="1">
        <w:r w:rsidRPr="00E43662">
          <w:rPr>
            <w:rStyle w:val="Hyperlink"/>
          </w:rPr>
          <w:t>LGBTQ2S-PiT-Count.pdf (homelesshub.ca)</w:t>
        </w:r>
      </w:hyperlink>
      <w:r w:rsidRPr="00E43662">
        <w:t xml:space="preserve"> </w:t>
      </w:r>
    </w:p>
    <w:p w14:paraId="33B85CDC" w14:textId="77777777" w:rsidR="00231CFD" w:rsidRPr="00E43662" w:rsidRDefault="00231CFD" w:rsidP="00231CFD">
      <w:r w:rsidRPr="00E43662">
        <w:t xml:space="preserve">Glossary of Important Terms on Gender and Sexual Diversity : </w:t>
      </w:r>
      <w:hyperlink r:id="rId10" w:history="1">
        <w:r w:rsidRPr="00E43662">
          <w:rPr>
            <w:rStyle w:val="Hyperlink"/>
          </w:rPr>
          <w:t>Glossary of Important Terms on Gender and Sexual Diversity | Homelessness Learning Hub</w:t>
        </w:r>
      </w:hyperlink>
      <w:r w:rsidRPr="00E43662">
        <w:t xml:space="preserve"> </w:t>
      </w:r>
    </w:p>
    <w:p w14:paraId="42CF2D34" w14:textId="77777777" w:rsidR="00231CFD" w:rsidRPr="00E43662" w:rsidRDefault="00231CFD" w:rsidP="00231CFD">
      <w:r w:rsidRPr="00E43662">
        <w:t xml:space="preserve">For PiT Count Questions: </w:t>
      </w:r>
      <w:hyperlink r:id="rId11" w:history="1">
        <w:r w:rsidRPr="00E43662">
          <w:rPr>
            <w:rStyle w:val="Hyperlink"/>
          </w:rPr>
          <w:t>hpsr@hrsdc-rhdcc.gc.ca</w:t>
        </w:r>
      </w:hyperlink>
      <w:r w:rsidRPr="00E43662">
        <w:t xml:space="preserve"> </w:t>
      </w:r>
    </w:p>
    <w:p w14:paraId="2105F018" w14:textId="77777777" w:rsidR="00231CFD" w:rsidRPr="00E43662" w:rsidRDefault="00231CFD" w:rsidP="00277B46">
      <w:pPr>
        <w:ind w:left="360"/>
        <w:rPr>
          <w:color w:val="000000"/>
        </w:rPr>
      </w:pPr>
    </w:p>
    <w:p w14:paraId="7BD89824" w14:textId="769E61BC" w:rsidR="00277B46" w:rsidRPr="006E6715" w:rsidRDefault="006E6715" w:rsidP="006E6715">
      <w:pPr>
        <w:rPr>
          <w:b/>
          <w:bCs/>
          <w:color w:val="000000"/>
        </w:rPr>
      </w:pPr>
      <w:r>
        <w:rPr>
          <w:b/>
          <w:bCs/>
          <w:color w:val="000000"/>
        </w:rPr>
        <w:t xml:space="preserve">Q: </w:t>
      </w:r>
      <w:r w:rsidR="00277B46" w:rsidRPr="006E6715">
        <w:rPr>
          <w:b/>
          <w:bCs/>
          <w:color w:val="000000"/>
        </w:rPr>
        <w:t xml:space="preserve">Is it okay to read out the responses for questions such as the gender </w:t>
      </w:r>
      <w:r w:rsidR="00A52893">
        <w:rPr>
          <w:b/>
          <w:bCs/>
          <w:color w:val="000000"/>
        </w:rPr>
        <w:t xml:space="preserve">identity </w:t>
      </w:r>
      <w:r w:rsidR="00277B46" w:rsidRPr="006E6715">
        <w:rPr>
          <w:b/>
          <w:bCs/>
          <w:color w:val="000000"/>
        </w:rPr>
        <w:t xml:space="preserve">and sexual </w:t>
      </w:r>
      <w:r w:rsidR="00A52893">
        <w:rPr>
          <w:b/>
          <w:bCs/>
          <w:color w:val="000000"/>
        </w:rPr>
        <w:t xml:space="preserve">orientations </w:t>
      </w:r>
      <w:r w:rsidR="00277B46" w:rsidRPr="006E6715">
        <w:rPr>
          <w:b/>
          <w:bCs/>
          <w:color w:val="000000"/>
        </w:rPr>
        <w:t>questions? Has there been any</w:t>
      </w:r>
      <w:r w:rsidR="00A52893">
        <w:rPr>
          <w:b/>
          <w:bCs/>
          <w:color w:val="000000"/>
        </w:rPr>
        <w:t xml:space="preserve"> consultation with</w:t>
      </w:r>
      <w:r w:rsidR="00277B46" w:rsidRPr="006E6715">
        <w:rPr>
          <w:b/>
          <w:bCs/>
          <w:color w:val="000000"/>
        </w:rPr>
        <w:t xml:space="preserve"> Dr. Abramovich around this to see if it is okay to read the list out loud for these questions?</w:t>
      </w:r>
    </w:p>
    <w:p w14:paraId="3F518B99" w14:textId="6AB52507" w:rsidR="00186064" w:rsidRPr="00E43662" w:rsidRDefault="006E6715" w:rsidP="006E6715">
      <w:pPr>
        <w:rPr>
          <w:bCs/>
          <w:color w:val="000000"/>
        </w:rPr>
      </w:pPr>
      <w:r w:rsidRPr="006E6715">
        <w:rPr>
          <w:b/>
          <w:bCs/>
          <w:color w:val="000000"/>
        </w:rPr>
        <w:t>A:</w:t>
      </w:r>
      <w:r>
        <w:rPr>
          <w:bCs/>
          <w:color w:val="000000"/>
        </w:rPr>
        <w:t xml:space="preserve"> </w:t>
      </w:r>
      <w:r w:rsidR="003B108A" w:rsidRPr="00E43662">
        <w:rPr>
          <w:bCs/>
          <w:color w:val="000000"/>
        </w:rPr>
        <w:t>Depending on the settings</w:t>
      </w:r>
      <w:r w:rsidR="00186064" w:rsidRPr="00E43662">
        <w:rPr>
          <w:bCs/>
          <w:color w:val="000000"/>
        </w:rPr>
        <w:t xml:space="preserve">, yes, it would be advisable to read out the response options for </w:t>
      </w:r>
      <w:r w:rsidR="00A52893">
        <w:rPr>
          <w:bCs/>
          <w:color w:val="000000"/>
        </w:rPr>
        <w:t>those</w:t>
      </w:r>
      <w:r w:rsidR="00186064" w:rsidRPr="00E43662">
        <w:rPr>
          <w:bCs/>
          <w:color w:val="000000"/>
        </w:rPr>
        <w:t xml:space="preserve"> question</w:t>
      </w:r>
      <w:r w:rsidR="00A52893">
        <w:rPr>
          <w:bCs/>
          <w:color w:val="000000"/>
        </w:rPr>
        <w:t>s</w:t>
      </w:r>
      <w:r w:rsidR="00186064" w:rsidRPr="00E43662">
        <w:rPr>
          <w:bCs/>
          <w:color w:val="000000"/>
        </w:rPr>
        <w:t xml:space="preserve">. </w:t>
      </w:r>
      <w:r w:rsidR="003B108A" w:rsidRPr="00E43662">
        <w:rPr>
          <w:bCs/>
          <w:color w:val="000000"/>
        </w:rPr>
        <w:t xml:space="preserve">It is also encouraged to do this with other questions, </w:t>
      </w:r>
      <w:r w:rsidR="00A52893">
        <w:rPr>
          <w:bCs/>
          <w:color w:val="000000"/>
        </w:rPr>
        <w:t>so as not to single out those two questions in particular. N</w:t>
      </w:r>
      <w:r w:rsidR="00186064" w:rsidRPr="00E43662">
        <w:rPr>
          <w:bCs/>
          <w:color w:val="000000"/>
        </w:rPr>
        <w:t xml:space="preserve">ormalization of the terms </w:t>
      </w:r>
      <w:r w:rsidR="00A52893">
        <w:rPr>
          <w:bCs/>
          <w:color w:val="000000"/>
        </w:rPr>
        <w:t>is promoted by saying them more. This also</w:t>
      </w:r>
      <w:r w:rsidR="00186064" w:rsidRPr="00E43662">
        <w:rPr>
          <w:bCs/>
          <w:color w:val="000000"/>
        </w:rPr>
        <w:t xml:space="preserve"> </w:t>
      </w:r>
      <w:r w:rsidR="00A52893">
        <w:rPr>
          <w:bCs/>
          <w:color w:val="000000"/>
        </w:rPr>
        <w:t>demonstrates to those being surveyed</w:t>
      </w:r>
      <w:r w:rsidR="003B108A" w:rsidRPr="00E43662">
        <w:rPr>
          <w:bCs/>
          <w:color w:val="000000"/>
        </w:rPr>
        <w:t xml:space="preserve"> that </w:t>
      </w:r>
      <w:r w:rsidR="00A52893">
        <w:rPr>
          <w:bCs/>
          <w:color w:val="000000"/>
        </w:rPr>
        <w:t>the surveyors and service providers</w:t>
      </w:r>
      <w:r w:rsidR="003B108A" w:rsidRPr="00E43662">
        <w:rPr>
          <w:bCs/>
          <w:color w:val="000000"/>
        </w:rPr>
        <w:t xml:space="preserve"> are comfortable with the subject</w:t>
      </w:r>
      <w:r w:rsidR="00A52893">
        <w:rPr>
          <w:bCs/>
          <w:color w:val="000000"/>
        </w:rPr>
        <w:t xml:space="preserve"> and related terms</w:t>
      </w:r>
      <w:r w:rsidR="003B108A" w:rsidRPr="00E43662">
        <w:rPr>
          <w:bCs/>
          <w:color w:val="000000"/>
        </w:rPr>
        <w:t>.</w:t>
      </w:r>
    </w:p>
    <w:p w14:paraId="3665436D" w14:textId="77777777" w:rsidR="002913DC" w:rsidRPr="00E43662" w:rsidRDefault="002913DC" w:rsidP="002913DC">
      <w:pPr>
        <w:pStyle w:val="ListParagraph"/>
        <w:ind w:left="0"/>
        <w:rPr>
          <w:color w:val="000000"/>
        </w:rPr>
      </w:pPr>
    </w:p>
    <w:p w14:paraId="65D87414" w14:textId="5DFEFA5B" w:rsidR="00277B46" w:rsidRPr="006E6715" w:rsidRDefault="006E6715" w:rsidP="006E6715">
      <w:pPr>
        <w:rPr>
          <w:b/>
          <w:bCs/>
          <w:color w:val="000000"/>
        </w:rPr>
      </w:pPr>
      <w:r>
        <w:rPr>
          <w:b/>
          <w:bCs/>
          <w:color w:val="000000"/>
        </w:rPr>
        <w:t xml:space="preserve">Q: </w:t>
      </w:r>
      <w:r w:rsidR="00277B46" w:rsidRPr="006E6715">
        <w:rPr>
          <w:b/>
          <w:bCs/>
          <w:color w:val="000000"/>
        </w:rPr>
        <w:t>Is there a reason the gender</w:t>
      </w:r>
      <w:r w:rsidR="00A52893">
        <w:rPr>
          <w:b/>
          <w:bCs/>
          <w:color w:val="000000"/>
        </w:rPr>
        <w:t xml:space="preserve"> identity and </w:t>
      </w:r>
      <w:r w:rsidR="00277B46" w:rsidRPr="006E6715">
        <w:rPr>
          <w:b/>
          <w:bCs/>
          <w:color w:val="000000"/>
        </w:rPr>
        <w:t xml:space="preserve">sexual orientation questions are treated so differently from other questions? It seems very stigmatizing. </w:t>
      </w:r>
    </w:p>
    <w:p w14:paraId="3BEA080B" w14:textId="0ECA3E3F" w:rsidR="00186064" w:rsidRDefault="006E6715" w:rsidP="006E6715">
      <w:pPr>
        <w:rPr>
          <w:color w:val="000000"/>
        </w:rPr>
      </w:pPr>
      <w:r w:rsidRPr="006E6715">
        <w:rPr>
          <w:b/>
          <w:color w:val="000000"/>
        </w:rPr>
        <w:t>A:</w:t>
      </w:r>
      <w:r>
        <w:rPr>
          <w:color w:val="000000"/>
        </w:rPr>
        <w:t xml:space="preserve"> </w:t>
      </w:r>
      <w:r w:rsidR="008D2E59" w:rsidRPr="00E43662">
        <w:rPr>
          <w:color w:val="000000"/>
        </w:rPr>
        <w:t>The response options for the gender</w:t>
      </w:r>
      <w:r w:rsidR="00A52893">
        <w:rPr>
          <w:color w:val="000000"/>
        </w:rPr>
        <w:t xml:space="preserve"> identity and </w:t>
      </w:r>
      <w:r w:rsidR="008D2E59" w:rsidRPr="00E43662">
        <w:rPr>
          <w:color w:val="000000"/>
        </w:rPr>
        <w:t>sexual orientation question</w:t>
      </w:r>
      <w:r w:rsidR="00A52893">
        <w:rPr>
          <w:color w:val="000000"/>
        </w:rPr>
        <w:t>s</w:t>
      </w:r>
      <w:r w:rsidR="008D2E59" w:rsidRPr="00E43662">
        <w:rPr>
          <w:color w:val="000000"/>
        </w:rPr>
        <w:t xml:space="preserve"> are t</w:t>
      </w:r>
      <w:r w:rsidR="003B108A" w:rsidRPr="00E43662">
        <w:rPr>
          <w:color w:val="000000"/>
        </w:rPr>
        <w:t xml:space="preserve">erms that are relatively new and </w:t>
      </w:r>
      <w:r w:rsidR="008D2E59" w:rsidRPr="00E43662">
        <w:rPr>
          <w:color w:val="000000"/>
        </w:rPr>
        <w:t xml:space="preserve">training </w:t>
      </w:r>
      <w:r w:rsidR="00A52893">
        <w:rPr>
          <w:color w:val="000000"/>
        </w:rPr>
        <w:t>deepens understanding of the topic for surveyors</w:t>
      </w:r>
      <w:r w:rsidR="003B108A" w:rsidRPr="00E43662">
        <w:rPr>
          <w:color w:val="000000"/>
        </w:rPr>
        <w:t xml:space="preserve">. </w:t>
      </w:r>
      <w:r w:rsidR="00A52893">
        <w:rPr>
          <w:color w:val="000000"/>
        </w:rPr>
        <w:t>It</w:t>
      </w:r>
      <w:r w:rsidR="003B108A" w:rsidRPr="00E43662">
        <w:rPr>
          <w:color w:val="000000"/>
        </w:rPr>
        <w:t xml:space="preserve"> also helps to normalize </w:t>
      </w:r>
      <w:r w:rsidR="003B108A" w:rsidRPr="00E43662">
        <w:rPr>
          <w:color w:val="000000"/>
        </w:rPr>
        <w:lastRenderedPageBreak/>
        <w:t>the terms and create a higher level of comfort</w:t>
      </w:r>
      <w:r w:rsidR="006F21BA">
        <w:rPr>
          <w:color w:val="000000"/>
        </w:rPr>
        <w:t xml:space="preserve"> for everyone</w:t>
      </w:r>
      <w:r w:rsidR="003B108A" w:rsidRPr="00E43662">
        <w:rPr>
          <w:color w:val="000000"/>
        </w:rPr>
        <w:t>.</w:t>
      </w:r>
      <w:r w:rsidR="00E43662" w:rsidRPr="00E43662">
        <w:rPr>
          <w:color w:val="000000"/>
        </w:rPr>
        <w:t xml:space="preserve"> We hope to move toward a society where these don’t require </w:t>
      </w:r>
      <w:r w:rsidR="006F21BA">
        <w:rPr>
          <w:color w:val="000000"/>
        </w:rPr>
        <w:t>additional training because the terms</w:t>
      </w:r>
      <w:r w:rsidR="00E43662" w:rsidRPr="00E43662">
        <w:rPr>
          <w:color w:val="000000"/>
        </w:rPr>
        <w:t xml:space="preserve"> are well known and understood.</w:t>
      </w:r>
    </w:p>
    <w:p w14:paraId="7BB1D533" w14:textId="77777777" w:rsidR="006E6715" w:rsidRPr="00E43662" w:rsidRDefault="006E6715" w:rsidP="006E6715">
      <w:pPr>
        <w:rPr>
          <w:color w:val="000000"/>
        </w:rPr>
      </w:pPr>
    </w:p>
    <w:p w14:paraId="1C43739A" w14:textId="1E6C2C78" w:rsidR="00277B46" w:rsidRPr="00E43662" w:rsidRDefault="006E6715" w:rsidP="002913DC">
      <w:pPr>
        <w:pStyle w:val="ListParagraph"/>
        <w:ind w:left="360" w:hanging="360"/>
        <w:rPr>
          <w:color w:val="000000"/>
        </w:rPr>
      </w:pPr>
      <w:r w:rsidRPr="006E6715">
        <w:rPr>
          <w:b/>
          <w:color w:val="000000"/>
        </w:rPr>
        <w:t xml:space="preserve">Q: </w:t>
      </w:r>
      <w:r w:rsidR="00277B46" w:rsidRPr="00E43662">
        <w:rPr>
          <w:b/>
          <w:bCs/>
          <w:color w:val="000000"/>
        </w:rPr>
        <w:t xml:space="preserve">Any suggestions on how to show the list to people in a covid-19 context? </w:t>
      </w:r>
    </w:p>
    <w:p w14:paraId="62B69A1C" w14:textId="2D1020F8" w:rsidR="007D689E" w:rsidRDefault="006E6715" w:rsidP="006E6715">
      <w:pPr>
        <w:rPr>
          <w:color w:val="000000"/>
        </w:rPr>
      </w:pPr>
      <w:r w:rsidRPr="006E6715">
        <w:rPr>
          <w:b/>
          <w:color w:val="000000"/>
        </w:rPr>
        <w:t>A:</w:t>
      </w:r>
      <w:r>
        <w:rPr>
          <w:color w:val="000000"/>
        </w:rPr>
        <w:t xml:space="preserve"> </w:t>
      </w:r>
      <w:r w:rsidR="00277B46" w:rsidRPr="00E43662">
        <w:rPr>
          <w:color w:val="000000"/>
        </w:rPr>
        <w:t xml:space="preserve">For the questions that prompt ‘show list to participant’, </w:t>
      </w:r>
      <w:r w:rsidR="006F21BA" w:rsidRPr="005D61BE">
        <w:rPr>
          <w:rFonts w:cstheme="minorHAnsi"/>
        </w:rPr>
        <w:t>You could print the full survey, laminate it, hand it to participants before you begin the survey, and sanitize it between participants.</w:t>
      </w:r>
      <w:r w:rsidR="006F21BA">
        <w:rPr>
          <w:rFonts w:cstheme="minorHAnsi"/>
        </w:rPr>
        <w:t xml:space="preserve"> Alternatively, you could print copies to distribute to clients to keep (while</w:t>
      </w:r>
      <w:r w:rsidR="006F21BA" w:rsidRPr="006F21BA">
        <w:rPr>
          <w:color w:val="000000"/>
        </w:rPr>
        <w:t xml:space="preserve"> </w:t>
      </w:r>
      <w:r w:rsidR="006F21BA">
        <w:rPr>
          <w:color w:val="000000"/>
        </w:rPr>
        <w:t>surveyors still collect</w:t>
      </w:r>
      <w:r w:rsidR="006F21BA" w:rsidRPr="00E43662">
        <w:rPr>
          <w:color w:val="000000"/>
        </w:rPr>
        <w:t xml:space="preserve"> the data electronically or on their own paper copies).</w:t>
      </w:r>
      <w:r w:rsidR="006F21BA">
        <w:rPr>
          <w:color w:val="000000"/>
        </w:rPr>
        <w:t xml:space="preserve"> Another option would be to</w:t>
      </w:r>
      <w:r w:rsidR="00277B46" w:rsidRPr="00E43662">
        <w:rPr>
          <w:color w:val="000000"/>
        </w:rPr>
        <w:t xml:space="preserve"> print the answers out in a large font and have them ready to show participants from 2 metres away. </w:t>
      </w:r>
    </w:p>
    <w:p w14:paraId="54CDB518" w14:textId="77777777" w:rsidR="006E6715" w:rsidRPr="00E43662" w:rsidRDefault="006E6715" w:rsidP="006E6715">
      <w:pPr>
        <w:rPr>
          <w:color w:val="000000"/>
        </w:rPr>
      </w:pPr>
    </w:p>
    <w:p w14:paraId="124302BC" w14:textId="46318E1B" w:rsidR="00277B46" w:rsidRPr="00E43662" w:rsidRDefault="006E6715" w:rsidP="007D689E">
      <w:pPr>
        <w:rPr>
          <w:rFonts w:ascii="Calibri" w:hAnsi="Calibri" w:cs="Calibri"/>
          <w:b/>
          <w:bCs/>
          <w:color w:val="000000"/>
          <w:lang w:eastAsia="en-CA"/>
        </w:rPr>
      </w:pPr>
      <w:r>
        <w:rPr>
          <w:rFonts w:ascii="Calibri" w:hAnsi="Calibri" w:cs="Calibri"/>
          <w:b/>
          <w:bCs/>
          <w:color w:val="000000"/>
          <w:lang w:eastAsia="en-CA"/>
        </w:rPr>
        <w:t xml:space="preserve">Q: </w:t>
      </w:r>
      <w:r w:rsidR="007D689E" w:rsidRPr="00E43662">
        <w:rPr>
          <w:rFonts w:ascii="Calibri" w:hAnsi="Calibri" w:cs="Calibri"/>
          <w:b/>
          <w:bCs/>
          <w:color w:val="000000"/>
          <w:lang w:eastAsia="en-CA"/>
        </w:rPr>
        <w:t>What do you think about asking about transgender/cisgender as a separate question?  We received advice that someone with trans experience who has become a woman/man would prefer to answer woman/man rather than trans woman/man.</w:t>
      </w:r>
    </w:p>
    <w:p w14:paraId="0C73C30C" w14:textId="04772F27" w:rsidR="00E43662" w:rsidRPr="00E43662" w:rsidRDefault="006E6715" w:rsidP="007D689E">
      <w:pPr>
        <w:rPr>
          <w:rFonts w:ascii="Calibri" w:hAnsi="Calibri" w:cs="Calibri"/>
          <w:bCs/>
          <w:color w:val="000000"/>
          <w:lang w:eastAsia="en-CA"/>
        </w:rPr>
      </w:pPr>
      <w:r>
        <w:rPr>
          <w:rFonts w:ascii="Calibri" w:hAnsi="Calibri" w:cs="Calibri"/>
          <w:b/>
          <w:bCs/>
          <w:color w:val="000000"/>
          <w:lang w:eastAsia="en-CA"/>
        </w:rPr>
        <w:t xml:space="preserve">A: </w:t>
      </w:r>
      <w:r w:rsidR="00E43662" w:rsidRPr="00E43662">
        <w:rPr>
          <w:rFonts w:ascii="Calibri" w:hAnsi="Calibri" w:cs="Calibri"/>
          <w:bCs/>
          <w:color w:val="000000"/>
          <w:lang w:eastAsia="en-CA"/>
        </w:rPr>
        <w:t>This was considered, but decided against. It was felt to discount the participants’ answers to the gender identity question to immediately follow up with a second question</w:t>
      </w:r>
      <w:r w:rsidR="006F21BA">
        <w:rPr>
          <w:rFonts w:ascii="Calibri" w:hAnsi="Calibri" w:cs="Calibri"/>
          <w:bCs/>
          <w:color w:val="000000"/>
          <w:lang w:eastAsia="en-CA"/>
        </w:rPr>
        <w:t xml:space="preserve"> on the same subject</w:t>
      </w:r>
      <w:r w:rsidR="00E43662" w:rsidRPr="00E43662">
        <w:rPr>
          <w:rFonts w:ascii="Calibri" w:hAnsi="Calibri" w:cs="Calibri"/>
          <w:bCs/>
          <w:color w:val="000000"/>
          <w:lang w:eastAsia="en-CA"/>
        </w:rPr>
        <w:t xml:space="preserve">. We acknowledge that some trans individuals will choose man or woman </w:t>
      </w:r>
      <w:r w:rsidR="00E43662">
        <w:rPr>
          <w:rFonts w:ascii="Calibri" w:hAnsi="Calibri" w:cs="Calibri"/>
          <w:bCs/>
          <w:color w:val="000000"/>
          <w:lang w:eastAsia="en-CA"/>
        </w:rPr>
        <w:t>for their response to the gender identity question (rather than trans</w:t>
      </w:r>
      <w:r w:rsidR="006F21BA">
        <w:rPr>
          <w:rFonts w:ascii="Calibri" w:hAnsi="Calibri" w:cs="Calibri"/>
          <w:bCs/>
          <w:color w:val="000000"/>
          <w:lang w:eastAsia="en-CA"/>
        </w:rPr>
        <w:t>)</w:t>
      </w:r>
      <w:r w:rsidR="00E43662">
        <w:rPr>
          <w:rFonts w:ascii="Calibri" w:hAnsi="Calibri" w:cs="Calibri"/>
          <w:bCs/>
          <w:color w:val="000000"/>
          <w:lang w:eastAsia="en-CA"/>
        </w:rPr>
        <w:t xml:space="preserve"> </w:t>
      </w:r>
      <w:r w:rsidR="00E43662" w:rsidRPr="00E43662">
        <w:rPr>
          <w:rFonts w:ascii="Calibri" w:hAnsi="Calibri" w:cs="Calibri"/>
          <w:bCs/>
          <w:color w:val="000000"/>
          <w:lang w:eastAsia="en-CA"/>
        </w:rPr>
        <w:t>and we respect their choice to identify as such.</w:t>
      </w:r>
    </w:p>
    <w:p w14:paraId="0D257316" w14:textId="70BCD9A6" w:rsidR="00E43662" w:rsidRPr="00E43662" w:rsidRDefault="00E43662" w:rsidP="007D689E">
      <w:r w:rsidRPr="00E43662">
        <w:rPr>
          <w:rFonts w:ascii="Calibri" w:hAnsi="Calibri" w:cs="Calibri"/>
          <w:b/>
          <w:bCs/>
          <w:color w:val="000000"/>
          <w:lang w:eastAsia="en-CA"/>
        </w:rPr>
        <w:tab/>
      </w:r>
    </w:p>
    <w:p w14:paraId="2FCCA29E" w14:textId="6D2A02E6" w:rsidR="00277B46" w:rsidRPr="00E43662" w:rsidRDefault="006E6715">
      <w:pPr>
        <w:rPr>
          <w:rFonts w:ascii="Calibri" w:hAnsi="Calibri" w:cs="Calibri"/>
          <w:b/>
          <w:bCs/>
          <w:color w:val="000000"/>
          <w:lang w:eastAsia="en-CA"/>
        </w:rPr>
      </w:pPr>
      <w:r>
        <w:rPr>
          <w:rFonts w:ascii="Calibri" w:hAnsi="Calibri" w:cs="Calibri"/>
          <w:b/>
          <w:bCs/>
          <w:color w:val="000000"/>
          <w:lang w:eastAsia="en-CA"/>
        </w:rPr>
        <w:t xml:space="preserve">Q: </w:t>
      </w:r>
      <w:r w:rsidR="006F21BA">
        <w:rPr>
          <w:rFonts w:ascii="Calibri" w:hAnsi="Calibri" w:cs="Calibri"/>
          <w:b/>
          <w:bCs/>
          <w:color w:val="000000"/>
          <w:lang w:eastAsia="en-CA"/>
        </w:rPr>
        <w:t>Are the sexual orientation and gender i</w:t>
      </w:r>
      <w:r w:rsidR="002913DC" w:rsidRPr="00E43662">
        <w:rPr>
          <w:rFonts w:ascii="Calibri" w:hAnsi="Calibri" w:cs="Calibri"/>
          <w:b/>
          <w:bCs/>
          <w:color w:val="000000"/>
          <w:lang w:eastAsia="en-CA"/>
        </w:rPr>
        <w:t>dentity questions on the PiT count recommended survey form multiple response or "check all that apply"? If not, do you recommend we capture responses where people identify more than one identity under the "not listed" option?</w:t>
      </w:r>
    </w:p>
    <w:p w14:paraId="3D12F631" w14:textId="17A4B369" w:rsidR="00E43662" w:rsidRPr="00E43662" w:rsidRDefault="006E6715">
      <w:pPr>
        <w:rPr>
          <w:rFonts w:ascii="Calibri" w:hAnsi="Calibri" w:cs="Calibri"/>
          <w:bCs/>
          <w:color w:val="000000"/>
          <w:lang w:eastAsia="en-CA"/>
        </w:rPr>
      </w:pPr>
      <w:r>
        <w:rPr>
          <w:rFonts w:ascii="Calibri" w:hAnsi="Calibri" w:cs="Calibri"/>
          <w:b/>
          <w:bCs/>
          <w:color w:val="000000"/>
          <w:lang w:eastAsia="en-CA"/>
        </w:rPr>
        <w:t xml:space="preserve">A: </w:t>
      </w:r>
      <w:r w:rsidR="00E43662" w:rsidRPr="00E43662">
        <w:rPr>
          <w:rFonts w:ascii="Calibri" w:hAnsi="Calibri" w:cs="Calibri"/>
          <w:bCs/>
          <w:color w:val="000000"/>
          <w:lang w:eastAsia="en-CA"/>
        </w:rPr>
        <w:t>They are single-select questions in HIFIS, but surveyors are welcome to specify multiple identities/orientations within the “Not listed” option.</w:t>
      </w:r>
      <w:r w:rsidR="00E43662">
        <w:rPr>
          <w:rFonts w:ascii="Calibri" w:hAnsi="Calibri" w:cs="Calibri"/>
          <w:bCs/>
          <w:color w:val="000000"/>
          <w:lang w:eastAsia="en-CA"/>
        </w:rPr>
        <w:t xml:space="preserve"> If using paper surveys, multiple options can be selected. However, when digitizing the data, the approach described for HIFIS may need to be employed.</w:t>
      </w:r>
    </w:p>
    <w:p w14:paraId="20ACC4DD" w14:textId="385439D5" w:rsidR="00E43662" w:rsidRPr="00E43662" w:rsidRDefault="00E43662">
      <w:pPr>
        <w:rPr>
          <w:rFonts w:ascii="Calibri" w:hAnsi="Calibri" w:cs="Calibri"/>
          <w:b/>
          <w:bCs/>
          <w:color w:val="000000"/>
          <w:lang w:eastAsia="en-CA"/>
        </w:rPr>
      </w:pPr>
      <w:r w:rsidRPr="00E43662">
        <w:rPr>
          <w:rFonts w:ascii="Calibri" w:hAnsi="Calibri" w:cs="Calibri"/>
          <w:b/>
          <w:bCs/>
          <w:color w:val="000000"/>
          <w:lang w:eastAsia="en-CA"/>
        </w:rPr>
        <w:tab/>
      </w:r>
    </w:p>
    <w:p w14:paraId="58874357" w14:textId="59350249" w:rsidR="003B108A" w:rsidRPr="00E43662" w:rsidRDefault="006E6715" w:rsidP="003B108A">
      <w:pPr>
        <w:rPr>
          <w:rFonts w:ascii="Calibri" w:hAnsi="Calibri" w:cs="Calibri"/>
          <w:b/>
          <w:bCs/>
          <w:color w:val="000000"/>
          <w:lang w:eastAsia="en-CA"/>
        </w:rPr>
      </w:pPr>
      <w:r>
        <w:rPr>
          <w:rFonts w:ascii="Calibri" w:hAnsi="Calibri" w:cs="Calibri"/>
          <w:b/>
          <w:bCs/>
          <w:color w:val="000000"/>
          <w:lang w:eastAsia="en-CA"/>
        </w:rPr>
        <w:t xml:space="preserve">Q: </w:t>
      </w:r>
      <w:r w:rsidR="0099590D" w:rsidRPr="00E43662">
        <w:rPr>
          <w:rFonts w:ascii="Calibri" w:hAnsi="Calibri" w:cs="Calibri"/>
          <w:b/>
          <w:bCs/>
          <w:color w:val="000000"/>
          <w:lang w:eastAsia="en-CA"/>
        </w:rPr>
        <w:t xml:space="preserve">How should </w:t>
      </w:r>
      <w:r w:rsidR="00E43662" w:rsidRPr="00E43662">
        <w:rPr>
          <w:rFonts w:ascii="Calibri" w:hAnsi="Calibri" w:cs="Calibri"/>
          <w:b/>
          <w:bCs/>
          <w:color w:val="000000"/>
          <w:lang w:eastAsia="en-CA"/>
        </w:rPr>
        <w:t>results be reported when there are few responses</w:t>
      </w:r>
      <w:r w:rsidR="003B108A" w:rsidRPr="00E43662">
        <w:rPr>
          <w:rFonts w:ascii="Calibri" w:hAnsi="Calibri" w:cs="Calibri"/>
          <w:b/>
          <w:bCs/>
          <w:color w:val="000000"/>
          <w:lang w:eastAsia="en-CA"/>
        </w:rPr>
        <w:t xml:space="preserve"> within the LGBTQ2S categories?</w:t>
      </w:r>
    </w:p>
    <w:p w14:paraId="28ADE465" w14:textId="27BE39F4" w:rsidR="0099590D" w:rsidRPr="00E43662" w:rsidRDefault="006E6715" w:rsidP="006E6715">
      <w:r w:rsidRPr="006E6715">
        <w:rPr>
          <w:b/>
        </w:rPr>
        <w:t>A:</w:t>
      </w:r>
      <w:r>
        <w:t xml:space="preserve"> </w:t>
      </w:r>
      <w:r w:rsidR="00E43662">
        <w:t xml:space="preserve">Guidance on this issue is provided </w:t>
      </w:r>
      <w:r w:rsidR="00186064" w:rsidRPr="00E43662">
        <w:t xml:space="preserve">in the </w:t>
      </w:r>
      <w:hyperlink r:id="rId12" w:history="1">
        <w:r w:rsidR="00E43662" w:rsidRPr="00E43662">
          <w:rPr>
            <w:rStyle w:val="Hyperlink"/>
          </w:rPr>
          <w:t>Creating LBTQ2S Inclusive, Affirming, and Safe PiT Counts</w:t>
        </w:r>
        <w:r w:rsidR="00186064" w:rsidRPr="00E43662">
          <w:rPr>
            <w:rStyle w:val="Hyperlink"/>
          </w:rPr>
          <w:t xml:space="preserve"> guide</w:t>
        </w:r>
      </w:hyperlink>
      <w:r w:rsidR="00E43662" w:rsidRPr="00E43662">
        <w:t>.</w:t>
      </w:r>
      <w:r w:rsidR="00186064" w:rsidRPr="00E43662">
        <w:t xml:space="preserve"> </w:t>
      </w:r>
      <w:r w:rsidR="00E43662">
        <w:t>Direction is included</w:t>
      </w:r>
      <w:r w:rsidR="00E43662" w:rsidRPr="00E43662">
        <w:t xml:space="preserve"> </w:t>
      </w:r>
      <w:r w:rsidR="00186064" w:rsidRPr="00E43662">
        <w:t xml:space="preserve">on how to </w:t>
      </w:r>
      <w:r w:rsidR="00E43662" w:rsidRPr="00E43662">
        <w:t>roll up responses into larger categories.</w:t>
      </w:r>
    </w:p>
    <w:p w14:paraId="321FC8E4" w14:textId="77777777" w:rsidR="0099590D" w:rsidRPr="00E43662" w:rsidRDefault="0099590D"/>
    <w:sectPr w:rsidR="0099590D" w:rsidRPr="00E4366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6577D" w14:textId="77777777" w:rsidR="00A52893" w:rsidRDefault="00A52893" w:rsidP="00A52893">
      <w:pPr>
        <w:spacing w:after="0" w:line="240" w:lineRule="auto"/>
      </w:pPr>
      <w:r>
        <w:separator/>
      </w:r>
    </w:p>
  </w:endnote>
  <w:endnote w:type="continuationSeparator" w:id="0">
    <w:p w14:paraId="0905A7EA" w14:textId="77777777" w:rsidR="00A52893" w:rsidRDefault="00A52893" w:rsidP="00A5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B2DDD" w14:textId="77777777" w:rsidR="00A52893" w:rsidRDefault="00A52893" w:rsidP="00A52893">
      <w:pPr>
        <w:spacing w:after="0" w:line="240" w:lineRule="auto"/>
      </w:pPr>
      <w:r>
        <w:separator/>
      </w:r>
    </w:p>
  </w:footnote>
  <w:footnote w:type="continuationSeparator" w:id="0">
    <w:p w14:paraId="3E0B0B79" w14:textId="77777777" w:rsidR="00A52893" w:rsidRDefault="00A52893" w:rsidP="00A52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115C6"/>
    <w:multiLevelType w:val="hybridMultilevel"/>
    <w:tmpl w:val="21BC6E0C"/>
    <w:lvl w:ilvl="0" w:tplc="1009000F">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B51BF0"/>
    <w:multiLevelType w:val="hybridMultilevel"/>
    <w:tmpl w:val="F92A816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49A606B"/>
    <w:multiLevelType w:val="hybridMultilevel"/>
    <w:tmpl w:val="8108A1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DF164D4"/>
    <w:multiLevelType w:val="hybridMultilevel"/>
    <w:tmpl w:val="CF9E997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C6F79D3"/>
    <w:multiLevelType w:val="hybridMultilevel"/>
    <w:tmpl w:val="E512864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46"/>
    <w:rsid w:val="00076CA9"/>
    <w:rsid w:val="00186064"/>
    <w:rsid w:val="001D4162"/>
    <w:rsid w:val="00231CFD"/>
    <w:rsid w:val="00277B46"/>
    <w:rsid w:val="002913DC"/>
    <w:rsid w:val="003B108A"/>
    <w:rsid w:val="0052003B"/>
    <w:rsid w:val="006E6715"/>
    <w:rsid w:val="006F21BA"/>
    <w:rsid w:val="007D5E89"/>
    <w:rsid w:val="007D689E"/>
    <w:rsid w:val="008D2E59"/>
    <w:rsid w:val="0099590D"/>
    <w:rsid w:val="00A52893"/>
    <w:rsid w:val="00A73105"/>
    <w:rsid w:val="00E43662"/>
    <w:rsid w:val="00FA54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4D80"/>
  <w15:chartTrackingRefBased/>
  <w15:docId w15:val="{CCE3F81C-C104-4624-AA87-E7E199A28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46"/>
    <w:pPr>
      <w:spacing w:line="252" w:lineRule="auto"/>
      <w:ind w:left="720"/>
    </w:pPr>
    <w:rPr>
      <w:rFonts w:ascii="Calibri" w:hAnsi="Calibri" w:cs="Calibri"/>
      <w:lang w:eastAsia="en-CA"/>
    </w:rPr>
  </w:style>
  <w:style w:type="character" w:styleId="Hyperlink">
    <w:name w:val="Hyperlink"/>
    <w:basedOn w:val="DefaultParagraphFont"/>
    <w:uiPriority w:val="99"/>
    <w:unhideWhenUsed/>
    <w:rsid w:val="00231CFD"/>
    <w:rPr>
      <w:color w:val="0000FF"/>
      <w:u w:val="single"/>
    </w:rPr>
  </w:style>
  <w:style w:type="character" w:styleId="CommentReference">
    <w:name w:val="annotation reference"/>
    <w:basedOn w:val="DefaultParagraphFont"/>
    <w:uiPriority w:val="99"/>
    <w:semiHidden/>
    <w:unhideWhenUsed/>
    <w:rsid w:val="003B108A"/>
    <w:rPr>
      <w:sz w:val="16"/>
      <w:szCs w:val="16"/>
    </w:rPr>
  </w:style>
  <w:style w:type="paragraph" w:styleId="CommentText">
    <w:name w:val="annotation text"/>
    <w:basedOn w:val="Normal"/>
    <w:link w:val="CommentTextChar"/>
    <w:uiPriority w:val="99"/>
    <w:semiHidden/>
    <w:unhideWhenUsed/>
    <w:rsid w:val="003B108A"/>
    <w:pPr>
      <w:spacing w:line="240" w:lineRule="auto"/>
    </w:pPr>
    <w:rPr>
      <w:sz w:val="20"/>
      <w:szCs w:val="20"/>
    </w:rPr>
  </w:style>
  <w:style w:type="character" w:customStyle="1" w:styleId="CommentTextChar">
    <w:name w:val="Comment Text Char"/>
    <w:basedOn w:val="DefaultParagraphFont"/>
    <w:link w:val="CommentText"/>
    <w:uiPriority w:val="99"/>
    <w:semiHidden/>
    <w:rsid w:val="003B108A"/>
    <w:rPr>
      <w:sz w:val="20"/>
      <w:szCs w:val="20"/>
    </w:rPr>
  </w:style>
  <w:style w:type="paragraph" w:styleId="CommentSubject">
    <w:name w:val="annotation subject"/>
    <w:basedOn w:val="CommentText"/>
    <w:next w:val="CommentText"/>
    <w:link w:val="CommentSubjectChar"/>
    <w:uiPriority w:val="99"/>
    <w:semiHidden/>
    <w:unhideWhenUsed/>
    <w:rsid w:val="003B108A"/>
    <w:rPr>
      <w:b/>
      <w:bCs/>
    </w:rPr>
  </w:style>
  <w:style w:type="character" w:customStyle="1" w:styleId="CommentSubjectChar">
    <w:name w:val="Comment Subject Char"/>
    <w:basedOn w:val="CommentTextChar"/>
    <w:link w:val="CommentSubject"/>
    <w:uiPriority w:val="99"/>
    <w:semiHidden/>
    <w:rsid w:val="003B108A"/>
    <w:rPr>
      <w:b/>
      <w:bCs/>
      <w:sz w:val="20"/>
      <w:szCs w:val="20"/>
    </w:rPr>
  </w:style>
  <w:style w:type="paragraph" w:styleId="BalloonText">
    <w:name w:val="Balloon Text"/>
    <w:basedOn w:val="Normal"/>
    <w:link w:val="BalloonTextChar"/>
    <w:uiPriority w:val="99"/>
    <w:semiHidden/>
    <w:unhideWhenUsed/>
    <w:rsid w:val="003B1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8A"/>
    <w:rPr>
      <w:rFonts w:ascii="Segoe UI" w:hAnsi="Segoe UI" w:cs="Segoe UI"/>
      <w:sz w:val="18"/>
      <w:szCs w:val="18"/>
    </w:rPr>
  </w:style>
  <w:style w:type="paragraph" w:styleId="Title">
    <w:name w:val="Title"/>
    <w:basedOn w:val="Normal"/>
    <w:next w:val="Normal"/>
    <w:link w:val="TitleChar"/>
    <w:uiPriority w:val="10"/>
    <w:qFormat/>
    <w:rsid w:val="006E67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671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52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893"/>
  </w:style>
  <w:style w:type="paragraph" w:styleId="Footer">
    <w:name w:val="footer"/>
    <w:basedOn w:val="Normal"/>
    <w:link w:val="FooterChar"/>
    <w:uiPriority w:val="99"/>
    <w:unhideWhenUsed/>
    <w:rsid w:val="00A52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1025">
      <w:bodyDiv w:val="1"/>
      <w:marLeft w:val="0"/>
      <w:marRight w:val="0"/>
      <w:marTop w:val="0"/>
      <w:marBottom w:val="0"/>
      <w:divBdr>
        <w:top w:val="none" w:sz="0" w:space="0" w:color="auto"/>
        <w:left w:val="none" w:sz="0" w:space="0" w:color="auto"/>
        <w:bottom w:val="none" w:sz="0" w:space="0" w:color="auto"/>
        <w:right w:val="none" w:sz="0" w:space="0" w:color="auto"/>
      </w:divBdr>
    </w:div>
    <w:div w:id="4344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ssnesslearninghub.ca/library/resources/video-creating-lgbtq2s-inclusive-affirming-and-safe-homeless-cou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omelessnesslearninghub.ca/library/resources/creating-lbtq2sinclusive-affirming-and-safe-pit-cou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psr@hrsdc-rhdcc.gc.ca" TargetMode="External"/><Relationship Id="rId5" Type="http://schemas.openxmlformats.org/officeDocument/2006/relationships/webSettings" Target="webSettings.xml"/><Relationship Id="rId10" Type="http://schemas.openxmlformats.org/officeDocument/2006/relationships/hyperlink" Target="https://www.homelessnesslearninghub.ca/library/resources/glossary-important-terms-gender-and-sexual-diversity" TargetMode="External"/><Relationship Id="rId4" Type="http://schemas.openxmlformats.org/officeDocument/2006/relationships/settings" Target="settings.xml"/><Relationship Id="rId9" Type="http://schemas.openxmlformats.org/officeDocument/2006/relationships/hyperlink" Target="https://www.homelesshub.ca/sites/default/files/attachments/LGBTQ2S-PiT-Coun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0FFE-64E1-4D5C-B229-AE4C3D72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Gravel, Emilie E [NC]</dc:creator>
  <cp:keywords/>
  <dc:description/>
  <cp:lastModifiedBy>Gravel, Emilie E [NC]</cp:lastModifiedBy>
  <cp:revision>10</cp:revision>
  <dcterms:created xsi:type="dcterms:W3CDTF">2021-02-17T17:47:00Z</dcterms:created>
  <dcterms:modified xsi:type="dcterms:W3CDTF">2021-03-16T15:15:00Z</dcterms:modified>
</cp:coreProperties>
</file>