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8D" w:rsidRDefault="00F67C8D"/>
    <w:p w:rsidR="002D35C5" w:rsidRDefault="002D35C5" w:rsidP="00765CE6">
      <w:pPr>
        <w:pStyle w:val="Heading1"/>
      </w:pPr>
    </w:p>
    <w:p w:rsidR="002D35C5" w:rsidRDefault="00531A80" w:rsidP="00765CE6">
      <w:pPr>
        <w:pStyle w:val="Heading1"/>
      </w:pPr>
      <w:r>
        <w:t>PiT COUNT COMMITTEE: TERMS OF REFERENCE</w:t>
      </w:r>
    </w:p>
    <w:p w:rsidR="003D17F3" w:rsidRPr="003D17F3" w:rsidRDefault="003D17F3" w:rsidP="003D17F3"/>
    <w:p w:rsidR="00531A80" w:rsidRPr="00531A80" w:rsidRDefault="00531A80" w:rsidP="00531A80">
      <w:pPr>
        <w:pStyle w:val="RegularBody"/>
        <w:tabs>
          <w:tab w:val="left" w:pos="8739"/>
        </w:tabs>
        <w:ind w:left="-142" w:right="-475"/>
        <w:rPr>
          <w:sz w:val="24"/>
          <w:szCs w:val="24"/>
        </w:rPr>
      </w:pPr>
      <w:r>
        <w:rPr>
          <w:sz w:val="24"/>
          <w:szCs w:val="24"/>
        </w:rPr>
        <w:t>A PiT Count c</w:t>
      </w:r>
      <w:r w:rsidRPr="00531A80">
        <w:rPr>
          <w:sz w:val="24"/>
          <w:szCs w:val="24"/>
        </w:rPr>
        <w:t xml:space="preserve">ommittee will help plan, coordinate and implement your PiT Count. A </w:t>
      </w:r>
      <w:r>
        <w:rPr>
          <w:sz w:val="24"/>
          <w:szCs w:val="24"/>
        </w:rPr>
        <w:t>t</w:t>
      </w:r>
      <w:r w:rsidRPr="00531A80">
        <w:rPr>
          <w:sz w:val="24"/>
          <w:szCs w:val="24"/>
        </w:rPr>
        <w:t xml:space="preserve">erms of </w:t>
      </w:r>
      <w:r>
        <w:rPr>
          <w:sz w:val="24"/>
          <w:szCs w:val="24"/>
        </w:rPr>
        <w:t>r</w:t>
      </w:r>
      <w:r w:rsidRPr="00531A80">
        <w:rPr>
          <w:sz w:val="24"/>
          <w:szCs w:val="24"/>
        </w:rPr>
        <w:t xml:space="preserve">eference, which sets out the objectives, roles and responsibilities and the structure of the </w:t>
      </w:r>
      <w:r>
        <w:rPr>
          <w:sz w:val="24"/>
          <w:szCs w:val="24"/>
        </w:rPr>
        <w:t>c</w:t>
      </w:r>
      <w:r w:rsidRPr="00531A80">
        <w:rPr>
          <w:sz w:val="24"/>
          <w:szCs w:val="24"/>
        </w:rPr>
        <w:t>ommitte</w:t>
      </w:r>
      <w:r>
        <w:rPr>
          <w:sz w:val="24"/>
          <w:szCs w:val="24"/>
        </w:rPr>
        <w:t>e, should guide your PiT Count c</w:t>
      </w:r>
      <w:r w:rsidRPr="00531A80">
        <w:rPr>
          <w:sz w:val="24"/>
          <w:szCs w:val="24"/>
        </w:rPr>
        <w:t xml:space="preserve">ommittee. The sections listed below are a guide; your community should add, remove, and/or amend the sample </w:t>
      </w:r>
      <w:r>
        <w:rPr>
          <w:sz w:val="24"/>
          <w:szCs w:val="24"/>
        </w:rPr>
        <w:t>t</w:t>
      </w:r>
      <w:r w:rsidRPr="00531A80">
        <w:rPr>
          <w:sz w:val="24"/>
          <w:szCs w:val="24"/>
        </w:rPr>
        <w:t xml:space="preserve">erms of </w:t>
      </w:r>
      <w:r>
        <w:rPr>
          <w:sz w:val="24"/>
          <w:szCs w:val="24"/>
        </w:rPr>
        <w:t>r</w:t>
      </w:r>
      <w:r w:rsidRPr="00531A80">
        <w:rPr>
          <w:sz w:val="24"/>
          <w:szCs w:val="24"/>
        </w:rPr>
        <w:t>eference to suit your local context.</w:t>
      </w: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bookmarkStart w:id="0" w:name="_GoBack"/>
      <w:bookmarkEnd w:id="0"/>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31A80" w:rsidRDefault="00531A80">
      <w:pPr>
        <w:rPr>
          <w:rFonts w:ascii="Calibri" w:hAnsi="Calibri"/>
          <w:color w:val="000000" w:themeColor="text1"/>
          <w:sz w:val="48"/>
          <w:szCs w:val="48"/>
          <w:lang w:val="en-US"/>
        </w:rPr>
      </w:pPr>
      <w:r>
        <w:rPr>
          <w:rFonts w:ascii="Calibri" w:hAnsi="Calibri"/>
          <w:color w:val="000000" w:themeColor="text1"/>
          <w:sz w:val="48"/>
          <w:szCs w:val="48"/>
          <w:lang w:val="en-US"/>
        </w:rPr>
        <w:br w:type="page"/>
      </w:r>
    </w:p>
    <w:p w:rsidR="00531A80" w:rsidRDefault="00531A80" w:rsidP="00531A80">
      <w:pPr>
        <w:pStyle w:val="Heading2"/>
      </w:pPr>
      <w:bookmarkStart w:id="1" w:name="_Toc302810047"/>
      <w:r>
        <w:lastRenderedPageBreak/>
        <w:t>Mission</w:t>
      </w:r>
      <w:bookmarkEnd w:id="1"/>
    </w:p>
    <w:p w:rsidR="00531A80" w:rsidRPr="00021B65" w:rsidRDefault="00531A80" w:rsidP="00531A80">
      <w:pPr>
        <w:pStyle w:val="RegularBody"/>
        <w:ind w:left="-142"/>
      </w:pPr>
      <w:r>
        <w:t xml:space="preserve">The </w:t>
      </w:r>
      <w:r>
        <w:rPr>
          <w:i/>
        </w:rPr>
        <w:t>mission</w:t>
      </w:r>
      <w:r w:rsidRPr="00021B65">
        <w:t xml:space="preserve"> describes the general purpose of the committee. That is, ‘why does the committee exist?’ The example provided </w:t>
      </w:r>
      <w:r>
        <w:t xml:space="preserve">bellowis </w:t>
      </w:r>
      <w:r w:rsidRPr="00021B65">
        <w:t xml:space="preserve">an illustration. </w:t>
      </w:r>
    </w:p>
    <w:p w:rsidR="00531A80" w:rsidRDefault="00531A80" w:rsidP="00531A80">
      <w:pPr>
        <w:pStyle w:val="RegularBody"/>
        <w:spacing w:after="0"/>
        <w:ind w:left="709" w:right="845"/>
        <w:rPr>
          <w:b/>
          <w:i/>
        </w:rPr>
      </w:pPr>
      <w:r w:rsidRPr="001474A0">
        <w:rPr>
          <w:b/>
          <w:i/>
        </w:rPr>
        <w:t>Example</w:t>
      </w:r>
    </w:p>
    <w:p w:rsidR="00531A80" w:rsidRDefault="00531A80" w:rsidP="00531A80">
      <w:pPr>
        <w:pStyle w:val="RegularBody"/>
        <w:spacing w:after="360"/>
        <w:ind w:left="709" w:right="845"/>
      </w:pPr>
      <w:r w:rsidRPr="0012070B">
        <w:t xml:space="preserve">To plan and implement a </w:t>
      </w:r>
      <w:r>
        <w:t>successful</w:t>
      </w:r>
      <w:r w:rsidRPr="0012070B">
        <w:t xml:space="preserve"> Point-in-Time Count</w:t>
      </w:r>
      <w:r>
        <w:t xml:space="preserve"> in 2018in order to better understand the extent of homelessness in [community name]. </w:t>
      </w:r>
      <w:bookmarkStart w:id="2" w:name="_Toc302810048"/>
    </w:p>
    <w:p w:rsidR="00531A80" w:rsidRDefault="00531A80" w:rsidP="00531A80">
      <w:pPr>
        <w:pStyle w:val="Heading2"/>
      </w:pPr>
      <w:r>
        <w:t>Goals &amp; Objectives</w:t>
      </w:r>
      <w:bookmarkEnd w:id="2"/>
    </w:p>
    <w:p w:rsidR="00531A80" w:rsidRPr="001474A0" w:rsidRDefault="00531A80" w:rsidP="00531A80">
      <w:pPr>
        <w:pStyle w:val="RegularBody"/>
        <w:tabs>
          <w:tab w:val="left" w:pos="8640"/>
        </w:tabs>
        <w:ind w:left="-142" w:right="-7"/>
      </w:pPr>
      <w:r w:rsidRPr="001474A0">
        <w:t>In this section, the goals and objectives of the committee are specified.  Goals are broad level objectives that g</w:t>
      </w:r>
      <w:r>
        <w:t>uide the work of the PiT Count c</w:t>
      </w:r>
      <w:r w:rsidRPr="001474A0">
        <w:t xml:space="preserve">ommittee. Objectives are the measurable tasks that the </w:t>
      </w:r>
      <w:r>
        <w:t>c</w:t>
      </w:r>
      <w:r w:rsidRPr="001474A0">
        <w:t xml:space="preserve">ommittee must do to accomplish these goals.  </w:t>
      </w:r>
      <w:r w:rsidRPr="001474A0" w:rsidDel="00867FDA">
        <w:t xml:space="preserve">The following list is not exhaustive. </w:t>
      </w:r>
      <w:r w:rsidRPr="001474A0">
        <w:t xml:space="preserve">The size and composition of your committee will dictate the goals and objectives. </w:t>
      </w:r>
    </w:p>
    <w:p w:rsidR="00531A80" w:rsidRDefault="00531A80" w:rsidP="00531A80">
      <w:pPr>
        <w:pStyle w:val="RegularBody"/>
        <w:spacing w:after="0"/>
        <w:ind w:left="709" w:right="845"/>
        <w:rPr>
          <w:b/>
          <w:i/>
        </w:rPr>
      </w:pPr>
      <w:r w:rsidRPr="001474A0">
        <w:rPr>
          <w:b/>
          <w:i/>
        </w:rPr>
        <w:t>Example</w:t>
      </w:r>
    </w:p>
    <w:tbl>
      <w:tblPr>
        <w:tblStyle w:val="MediumList2"/>
        <w:tblW w:w="7920" w:type="dxa"/>
        <w:tblInd w:w="558" w:type="dxa"/>
        <w:tblLook w:val="04A0"/>
      </w:tblPr>
      <w:tblGrid>
        <w:gridCol w:w="3155"/>
        <w:gridCol w:w="4765"/>
      </w:tblGrid>
      <w:tr w:rsidR="00531A80" w:rsidRPr="008F0AA7" w:rsidTr="00531A80">
        <w:trPr>
          <w:cnfStyle w:val="100000000000"/>
          <w:trHeight w:val="211"/>
        </w:trPr>
        <w:tc>
          <w:tcPr>
            <w:cnfStyle w:val="001000000100"/>
            <w:tcW w:w="3155" w:type="dxa"/>
            <w:tcBorders>
              <w:bottom w:val="single" w:sz="4" w:space="0" w:color="BFBFBF" w:themeColor="background1" w:themeShade="BF"/>
            </w:tcBorders>
            <w:shd w:val="clear" w:color="auto" w:fill="000000" w:themeFill="text1"/>
          </w:tcPr>
          <w:p w:rsidR="00531A80" w:rsidRPr="00531A80" w:rsidRDefault="00531A80" w:rsidP="00A239ED">
            <w:pPr>
              <w:jc w:val="center"/>
              <w:rPr>
                <w:b/>
                <w:color w:val="FFFFFF" w:themeColor="background1"/>
              </w:rPr>
            </w:pPr>
            <w:r w:rsidRPr="00531A80">
              <w:rPr>
                <w:b/>
                <w:color w:val="FFFFFF" w:themeColor="background1"/>
              </w:rPr>
              <w:t>Goals</w:t>
            </w:r>
          </w:p>
        </w:tc>
        <w:tc>
          <w:tcPr>
            <w:tcW w:w="4765" w:type="dxa"/>
            <w:tcBorders>
              <w:bottom w:val="single" w:sz="4" w:space="0" w:color="BFBFBF" w:themeColor="background1" w:themeShade="BF"/>
            </w:tcBorders>
            <w:shd w:val="clear" w:color="auto" w:fill="000000" w:themeFill="text1"/>
          </w:tcPr>
          <w:p w:rsidR="00531A80" w:rsidRPr="00531A80" w:rsidRDefault="00531A80" w:rsidP="00A239ED">
            <w:pPr>
              <w:jc w:val="center"/>
              <w:cnfStyle w:val="100000000000"/>
              <w:rPr>
                <w:b/>
                <w:color w:val="FFFFFF" w:themeColor="background1"/>
              </w:rPr>
            </w:pPr>
            <w:r w:rsidRPr="00531A80">
              <w:rPr>
                <w:b/>
                <w:color w:val="FFFFFF" w:themeColor="background1"/>
              </w:rPr>
              <w:t>Objectives</w:t>
            </w:r>
          </w:p>
        </w:tc>
      </w:tr>
      <w:tr w:rsidR="00531A80" w:rsidRPr="008F0AA7" w:rsidTr="00A239ED">
        <w:trPr>
          <w:cnfStyle w:val="000000100000"/>
          <w:trHeight w:val="1401"/>
        </w:trPr>
        <w:tc>
          <w:tcPr>
            <w:cnfStyle w:val="001000000000"/>
            <w:tcW w:w="3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31A80" w:rsidRPr="00D825CB" w:rsidRDefault="00531A80" w:rsidP="00A239ED">
            <w:pPr>
              <w:jc w:val="center"/>
              <w:rPr>
                <w:sz w:val="22"/>
                <w:szCs w:val="22"/>
              </w:rPr>
            </w:pPr>
            <w:r w:rsidRPr="00D825CB">
              <w:rPr>
                <w:sz w:val="22"/>
                <w:szCs w:val="22"/>
              </w:rPr>
              <w:t>Support the PiT Count Coordinator</w:t>
            </w:r>
          </w:p>
        </w:t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31A80" w:rsidRPr="00703F87" w:rsidRDefault="00531A80" w:rsidP="00531A80">
            <w:pPr>
              <w:pStyle w:val="ListParagraph"/>
              <w:numPr>
                <w:ilvl w:val="0"/>
                <w:numId w:val="12"/>
              </w:numPr>
              <w:spacing w:before="120"/>
              <w:ind w:left="517"/>
              <w:cnfStyle w:val="000000100000"/>
              <w:rPr>
                <w:sz w:val="22"/>
                <w:szCs w:val="22"/>
              </w:rPr>
            </w:pPr>
            <w:r w:rsidRPr="00703F87">
              <w:rPr>
                <w:sz w:val="22"/>
                <w:szCs w:val="22"/>
              </w:rPr>
              <w:t xml:space="preserve">Maintain regular communication with the PiT Count </w:t>
            </w:r>
            <w:r>
              <w:rPr>
                <w:sz w:val="22"/>
                <w:szCs w:val="22"/>
              </w:rPr>
              <w:t>c</w:t>
            </w:r>
            <w:r w:rsidRPr="00703F87">
              <w:rPr>
                <w:sz w:val="22"/>
                <w:szCs w:val="22"/>
              </w:rPr>
              <w:t>oordinator</w:t>
            </w:r>
          </w:p>
          <w:p w:rsidR="00531A80" w:rsidRPr="00703F87" w:rsidRDefault="00531A80" w:rsidP="00531A80">
            <w:pPr>
              <w:pStyle w:val="ListParagraph"/>
              <w:numPr>
                <w:ilvl w:val="0"/>
                <w:numId w:val="10"/>
              </w:numPr>
              <w:spacing w:before="120"/>
              <w:ind w:left="517"/>
              <w:cnfStyle w:val="000000100000"/>
              <w:rPr>
                <w:sz w:val="22"/>
                <w:szCs w:val="22"/>
              </w:rPr>
            </w:pPr>
            <w:r w:rsidRPr="00703F87">
              <w:rPr>
                <w:sz w:val="22"/>
                <w:szCs w:val="22"/>
              </w:rPr>
              <w:t xml:space="preserve">Provide the PiT Count </w:t>
            </w:r>
            <w:r>
              <w:rPr>
                <w:sz w:val="22"/>
                <w:szCs w:val="22"/>
              </w:rPr>
              <w:t>c</w:t>
            </w:r>
            <w:r w:rsidRPr="00703F87">
              <w:rPr>
                <w:sz w:val="22"/>
                <w:szCs w:val="22"/>
              </w:rPr>
              <w:t>oordinator with connections to key stakeholders</w:t>
            </w:r>
          </w:p>
        </w:tc>
      </w:tr>
      <w:tr w:rsidR="00531A80" w:rsidRPr="008F0AA7" w:rsidTr="00A239ED">
        <w:trPr>
          <w:trHeight w:val="1077"/>
        </w:trPr>
        <w:tc>
          <w:tcPr>
            <w:cnfStyle w:val="001000000000"/>
            <w:tcW w:w="3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31A80" w:rsidRPr="00D825CB" w:rsidRDefault="00531A80" w:rsidP="00A239ED">
            <w:pPr>
              <w:jc w:val="center"/>
              <w:rPr>
                <w:sz w:val="22"/>
                <w:szCs w:val="22"/>
              </w:rPr>
            </w:pPr>
            <w:r w:rsidRPr="00D825CB">
              <w:rPr>
                <w:sz w:val="22"/>
                <w:szCs w:val="22"/>
              </w:rPr>
              <w:t>Promote awareness about the PiT Count and its results</w:t>
            </w:r>
          </w:p>
        </w:t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31A80" w:rsidRPr="00703F87" w:rsidRDefault="00531A80" w:rsidP="00531A80">
            <w:pPr>
              <w:pStyle w:val="ListParagraph"/>
              <w:numPr>
                <w:ilvl w:val="0"/>
                <w:numId w:val="11"/>
              </w:numPr>
              <w:spacing w:before="120"/>
              <w:ind w:left="517"/>
              <w:cnfStyle w:val="000000000000"/>
              <w:rPr>
                <w:sz w:val="22"/>
                <w:szCs w:val="22"/>
              </w:rPr>
            </w:pPr>
            <w:r w:rsidRPr="00703F87">
              <w:rPr>
                <w:sz w:val="22"/>
                <w:szCs w:val="22"/>
              </w:rPr>
              <w:t>Develop a communication plan to build public support for the PiT Count—and more generally—all local homelessness initiatives</w:t>
            </w:r>
          </w:p>
        </w:tc>
      </w:tr>
      <w:tr w:rsidR="00531A80" w:rsidRPr="008F0AA7" w:rsidTr="00A239ED">
        <w:trPr>
          <w:cnfStyle w:val="000000100000"/>
          <w:trHeight w:val="2418"/>
        </w:trPr>
        <w:tc>
          <w:tcPr>
            <w:cnfStyle w:val="001000000000"/>
            <w:tcW w:w="3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31A80" w:rsidRPr="00D825CB" w:rsidRDefault="00531A80" w:rsidP="00A239ED">
            <w:pPr>
              <w:jc w:val="center"/>
              <w:rPr>
                <w:sz w:val="22"/>
                <w:szCs w:val="22"/>
              </w:rPr>
            </w:pPr>
            <w:r w:rsidRPr="00D825CB">
              <w:rPr>
                <w:sz w:val="22"/>
                <w:szCs w:val="22"/>
              </w:rPr>
              <w:t>Improve the accuracy of the PiT Count by promoting partnership with key stakeholders</w:t>
            </w:r>
          </w:p>
        </w:t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31A80" w:rsidRDefault="00531A80" w:rsidP="00531A80">
            <w:pPr>
              <w:pStyle w:val="ListParagraph"/>
              <w:numPr>
                <w:ilvl w:val="0"/>
                <w:numId w:val="9"/>
              </w:numPr>
              <w:spacing w:before="120"/>
              <w:ind w:left="517"/>
              <w:cnfStyle w:val="000000100000"/>
              <w:rPr>
                <w:sz w:val="22"/>
                <w:szCs w:val="22"/>
              </w:rPr>
            </w:pPr>
            <w:r w:rsidRPr="00703F87">
              <w:rPr>
                <w:sz w:val="22"/>
                <w:szCs w:val="22"/>
              </w:rPr>
              <w:t xml:space="preserve">Monitor the composition of the PiT Count </w:t>
            </w:r>
            <w:r>
              <w:rPr>
                <w:sz w:val="22"/>
                <w:szCs w:val="22"/>
              </w:rPr>
              <w:t>c</w:t>
            </w:r>
            <w:r w:rsidRPr="00703F87">
              <w:rPr>
                <w:sz w:val="22"/>
                <w:szCs w:val="22"/>
              </w:rPr>
              <w:t>ommittee to ensure that all local stakeholders are represented on the committee</w:t>
            </w:r>
          </w:p>
          <w:p w:rsidR="00531A80" w:rsidRPr="00703F87" w:rsidRDefault="00531A80" w:rsidP="00531A80">
            <w:pPr>
              <w:pStyle w:val="ListParagraph"/>
              <w:numPr>
                <w:ilvl w:val="0"/>
                <w:numId w:val="8"/>
              </w:numPr>
              <w:spacing w:before="120"/>
              <w:ind w:left="517"/>
              <w:cnfStyle w:val="000000100000"/>
              <w:rPr>
                <w:sz w:val="22"/>
                <w:szCs w:val="22"/>
              </w:rPr>
            </w:pPr>
            <w:r w:rsidRPr="00703F87">
              <w:rPr>
                <w:sz w:val="22"/>
                <w:szCs w:val="22"/>
              </w:rPr>
              <w:t>Host community meetings, workshops, focus groups, and other forms of public engagement, to allow the community-at-large an opportunity to voice their opinions</w:t>
            </w:r>
          </w:p>
        </w:tc>
      </w:tr>
      <w:tr w:rsidR="00531A80" w:rsidRPr="008F0AA7" w:rsidTr="00A239ED">
        <w:trPr>
          <w:trHeight w:val="2166"/>
        </w:trPr>
        <w:tc>
          <w:tcPr>
            <w:cnfStyle w:val="001000000000"/>
            <w:tcW w:w="3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31A80" w:rsidRPr="00D825CB" w:rsidRDefault="00531A80" w:rsidP="00A239ED">
            <w:pPr>
              <w:jc w:val="center"/>
              <w:rPr>
                <w:sz w:val="22"/>
                <w:szCs w:val="22"/>
              </w:rPr>
            </w:pPr>
            <w:r w:rsidRPr="00D825CB">
              <w:rPr>
                <w:sz w:val="22"/>
                <w:szCs w:val="22"/>
              </w:rPr>
              <w:t>Identify ways to improve the PiT Count</w:t>
            </w:r>
          </w:p>
        </w:tc>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31A80" w:rsidRPr="00703F87" w:rsidRDefault="00531A80" w:rsidP="00531A80">
            <w:pPr>
              <w:pStyle w:val="ListParagraph"/>
              <w:numPr>
                <w:ilvl w:val="1"/>
                <w:numId w:val="8"/>
              </w:numPr>
              <w:spacing w:before="120"/>
              <w:ind w:left="517"/>
              <w:cnfStyle w:val="000000000000"/>
              <w:rPr>
                <w:sz w:val="22"/>
                <w:szCs w:val="22"/>
              </w:rPr>
            </w:pPr>
            <w:r w:rsidRPr="00703F87">
              <w:rPr>
                <w:sz w:val="22"/>
                <w:szCs w:val="22"/>
              </w:rPr>
              <w:t xml:space="preserve">Inform the development of the PiT Count methodology and </w:t>
            </w:r>
            <w:r>
              <w:rPr>
                <w:sz w:val="22"/>
                <w:szCs w:val="22"/>
              </w:rPr>
              <w:t>s</w:t>
            </w:r>
            <w:r w:rsidRPr="00703F87">
              <w:rPr>
                <w:sz w:val="22"/>
                <w:szCs w:val="22"/>
              </w:rPr>
              <w:t xml:space="preserve">urvey; consult relevant stakeholders, particularly those not represented on the PiT Count Committee </w:t>
            </w:r>
          </w:p>
          <w:p w:rsidR="00531A80" w:rsidRPr="00703F87" w:rsidRDefault="00531A80" w:rsidP="00531A80">
            <w:pPr>
              <w:pStyle w:val="ListParagraph"/>
              <w:numPr>
                <w:ilvl w:val="0"/>
                <w:numId w:val="8"/>
              </w:numPr>
              <w:spacing w:before="120"/>
              <w:ind w:left="517"/>
              <w:cnfStyle w:val="000000000000"/>
              <w:rPr>
                <w:sz w:val="22"/>
                <w:szCs w:val="22"/>
              </w:rPr>
            </w:pPr>
            <w:r w:rsidRPr="00703F87">
              <w:rPr>
                <w:sz w:val="22"/>
                <w:szCs w:val="22"/>
              </w:rPr>
              <w:t xml:space="preserve">Implement a post-count review that identifies successes, challenges and learning for subsequent counts </w:t>
            </w:r>
          </w:p>
        </w:tc>
      </w:tr>
    </w:tbl>
    <w:p w:rsidR="00531A80" w:rsidRDefault="00531A80" w:rsidP="00531A80">
      <w:pPr>
        <w:pStyle w:val="Heading2"/>
      </w:pPr>
      <w:bookmarkStart w:id="3" w:name="_Toc302810049"/>
    </w:p>
    <w:p w:rsidR="00531A80" w:rsidRDefault="00531A80" w:rsidP="00531A80">
      <w:pPr>
        <w:pStyle w:val="Heading2"/>
      </w:pPr>
      <w:r>
        <w:lastRenderedPageBreak/>
        <w:t>Membership</w:t>
      </w:r>
      <w:bookmarkEnd w:id="3"/>
    </w:p>
    <w:p w:rsidR="00531A80" w:rsidRPr="008F0AA7" w:rsidRDefault="00531A80" w:rsidP="00531A80">
      <w:pPr>
        <w:pStyle w:val="RegularBody"/>
        <w:ind w:left="-142" w:right="-7"/>
      </w:pPr>
      <w:r w:rsidRPr="008F0AA7">
        <w:t xml:space="preserve">As indicated in the ‘Stakeholder Engagement’ part of the Point-in-Time Count Toolkit, there are a number of key groups that should be engaged during the planning process. Involving these key groups in the PiT Count </w:t>
      </w:r>
      <w:r>
        <w:t>c</w:t>
      </w:r>
      <w:r w:rsidRPr="008F0AA7">
        <w:t xml:space="preserve">ommittee is perhaps one of the best ways to include their input into the planning process. This list, however, is not exhaustive and time should be spent considering what other stakeholders should be included. Ensure that your PiT Count </w:t>
      </w:r>
      <w:r>
        <w:t>c</w:t>
      </w:r>
      <w:r w:rsidRPr="008F0AA7">
        <w:t>ommittee is of a reasonable size. You may decide to form Sub-Committees that focus on certain aspects of the count such as mapping or survey development.</w:t>
      </w:r>
    </w:p>
    <w:p w:rsidR="00531A80" w:rsidRDefault="00531A80" w:rsidP="00531A80">
      <w:pPr>
        <w:pStyle w:val="RegularBody"/>
        <w:spacing w:after="0"/>
        <w:ind w:left="709" w:right="845"/>
        <w:rPr>
          <w:b/>
          <w:i/>
        </w:rPr>
      </w:pPr>
      <w:r w:rsidRPr="001474A0">
        <w:rPr>
          <w:b/>
          <w:i/>
        </w:rPr>
        <w:t>Example</w:t>
      </w:r>
    </w:p>
    <w:p w:rsidR="00531A80" w:rsidRPr="00ED11B3" w:rsidRDefault="00531A80" w:rsidP="00531A80">
      <w:pPr>
        <w:pStyle w:val="RegularBody"/>
        <w:ind w:left="709" w:right="843"/>
      </w:pPr>
      <w:r w:rsidRPr="00ED11B3">
        <w:t xml:space="preserve">The PiT Count </w:t>
      </w:r>
      <w:r>
        <w:t>c</w:t>
      </w:r>
      <w:r w:rsidRPr="00ED11B3">
        <w:t>ommittee will consist of a minimum of [number] members, including:</w:t>
      </w:r>
    </w:p>
    <w:p w:rsidR="00531A80" w:rsidRPr="00ED11B3" w:rsidRDefault="00531A80" w:rsidP="00531A80">
      <w:pPr>
        <w:pStyle w:val="RegularBody"/>
        <w:numPr>
          <w:ilvl w:val="0"/>
          <w:numId w:val="7"/>
        </w:numPr>
        <w:ind w:left="1276" w:right="845" w:hanging="357"/>
        <w:contextualSpacing/>
      </w:pPr>
      <w:r w:rsidRPr="00ED11B3">
        <w:t>[number of] local individuals with lived experience</w:t>
      </w:r>
    </w:p>
    <w:p w:rsidR="00531A80" w:rsidRPr="00ED11B3" w:rsidRDefault="00531A80" w:rsidP="00531A80">
      <w:pPr>
        <w:pStyle w:val="RegularBody"/>
        <w:numPr>
          <w:ilvl w:val="0"/>
          <w:numId w:val="7"/>
        </w:numPr>
        <w:ind w:left="1276" w:right="845" w:hanging="357"/>
        <w:contextualSpacing/>
      </w:pPr>
      <w:r w:rsidRPr="00ED11B3">
        <w:t>[number of] shelter providers and staff</w:t>
      </w:r>
    </w:p>
    <w:p w:rsidR="00531A80" w:rsidRPr="00ED11B3" w:rsidRDefault="00531A80" w:rsidP="00531A80">
      <w:pPr>
        <w:pStyle w:val="RegularBody"/>
        <w:numPr>
          <w:ilvl w:val="0"/>
          <w:numId w:val="7"/>
        </w:numPr>
        <w:ind w:left="1276" w:right="845" w:hanging="357"/>
        <w:contextualSpacing/>
      </w:pPr>
      <w:r w:rsidRPr="00ED11B3">
        <w:t>[number of] local non-profit service providers and staff</w:t>
      </w:r>
    </w:p>
    <w:p w:rsidR="00531A80" w:rsidRPr="00ED11B3" w:rsidRDefault="00531A80" w:rsidP="00531A80">
      <w:pPr>
        <w:pStyle w:val="RegularBody"/>
        <w:numPr>
          <w:ilvl w:val="0"/>
          <w:numId w:val="7"/>
        </w:numPr>
        <w:ind w:left="1276" w:right="845" w:hanging="357"/>
        <w:contextualSpacing/>
      </w:pPr>
      <w:r w:rsidRPr="00ED11B3">
        <w:t xml:space="preserve">[number of] </w:t>
      </w:r>
      <w:r>
        <w:t>Indigenous</w:t>
      </w:r>
      <w:r w:rsidRPr="00ED11B3">
        <w:t>community representatives</w:t>
      </w:r>
    </w:p>
    <w:p w:rsidR="00531A80" w:rsidRPr="00ED11B3" w:rsidRDefault="00531A80" w:rsidP="00531A80">
      <w:pPr>
        <w:pStyle w:val="RegularBody"/>
        <w:numPr>
          <w:ilvl w:val="0"/>
          <w:numId w:val="7"/>
        </w:numPr>
        <w:ind w:left="1276" w:right="845" w:hanging="357"/>
        <w:contextualSpacing/>
      </w:pPr>
      <w:r w:rsidRPr="00ED11B3">
        <w:t>[number of] health services staff</w:t>
      </w:r>
    </w:p>
    <w:p w:rsidR="00531A80" w:rsidRPr="00ED11B3" w:rsidRDefault="00531A80" w:rsidP="00531A80">
      <w:pPr>
        <w:pStyle w:val="RegularBody"/>
        <w:numPr>
          <w:ilvl w:val="0"/>
          <w:numId w:val="7"/>
        </w:numPr>
        <w:ind w:left="1276" w:right="845" w:hanging="357"/>
        <w:contextualSpacing/>
      </w:pPr>
      <w:r w:rsidRPr="00ED11B3">
        <w:t>[number of] corrections services staff</w:t>
      </w:r>
    </w:p>
    <w:p w:rsidR="00531A80" w:rsidRPr="00ED11B3" w:rsidRDefault="00531A80" w:rsidP="00531A80">
      <w:pPr>
        <w:pStyle w:val="RegularBody"/>
        <w:numPr>
          <w:ilvl w:val="0"/>
          <w:numId w:val="7"/>
        </w:numPr>
        <w:ind w:left="1276" w:right="845" w:hanging="357"/>
        <w:contextualSpacing/>
      </w:pPr>
      <w:r w:rsidRPr="00ED11B3">
        <w:t>[number of] police staff</w:t>
      </w:r>
    </w:p>
    <w:p w:rsidR="00531A80" w:rsidRPr="00ED11B3" w:rsidRDefault="00531A80" w:rsidP="00531A80">
      <w:pPr>
        <w:pStyle w:val="RegularBody"/>
        <w:numPr>
          <w:ilvl w:val="0"/>
          <w:numId w:val="7"/>
        </w:numPr>
        <w:ind w:left="1276" w:right="845" w:hanging="357"/>
        <w:contextualSpacing/>
      </w:pPr>
      <w:r w:rsidRPr="00ED11B3">
        <w:t>[number of] researchers</w:t>
      </w:r>
    </w:p>
    <w:p w:rsidR="00531A80" w:rsidRPr="00ED11B3" w:rsidRDefault="00531A80" w:rsidP="00531A80">
      <w:pPr>
        <w:pStyle w:val="RegularBody"/>
        <w:numPr>
          <w:ilvl w:val="0"/>
          <w:numId w:val="7"/>
        </w:numPr>
        <w:ind w:left="1276" w:right="845" w:hanging="357"/>
        <w:contextualSpacing/>
      </w:pPr>
      <w:r w:rsidRPr="00ED11B3">
        <w:t>[number of] government officials &amp; funders</w:t>
      </w:r>
    </w:p>
    <w:p w:rsidR="00531A80" w:rsidRDefault="00531A80" w:rsidP="00531A80">
      <w:pPr>
        <w:pStyle w:val="RegularBody"/>
        <w:numPr>
          <w:ilvl w:val="0"/>
          <w:numId w:val="7"/>
        </w:numPr>
        <w:spacing w:after="360"/>
        <w:ind w:left="1276" w:right="845" w:hanging="357"/>
        <w:contextualSpacing/>
      </w:pPr>
      <w:r w:rsidRPr="00ED11B3">
        <w:t>[number of] individuals from the local business community</w:t>
      </w:r>
      <w:bookmarkStart w:id="4" w:name="_Toc302810050"/>
    </w:p>
    <w:p w:rsidR="00531A80" w:rsidRDefault="00531A80" w:rsidP="00531A80">
      <w:pPr>
        <w:pStyle w:val="Heading2"/>
      </w:pPr>
      <w:r>
        <w:t>Term</w:t>
      </w:r>
      <w:bookmarkEnd w:id="4"/>
    </w:p>
    <w:p w:rsidR="00531A80" w:rsidRPr="00ED11B3" w:rsidRDefault="00531A80" w:rsidP="00531A80">
      <w:pPr>
        <w:pStyle w:val="RegularBody"/>
        <w:ind w:left="-142" w:right="-7"/>
      </w:pPr>
      <w:r w:rsidRPr="00ED11B3">
        <w:t>This section is used to stipulate the length of term; how people are elected to the committee (i.e., by election); how often elections occur and when; who is eligible for the chair position; and whether there is a requirement for the turnover of members (i.e., a minimum of [</w:t>
      </w:r>
      <w:r>
        <w:t>number] new members each year].</w:t>
      </w:r>
    </w:p>
    <w:p w:rsidR="00531A80" w:rsidRPr="008A724C" w:rsidRDefault="00531A80" w:rsidP="00531A80">
      <w:pPr>
        <w:pStyle w:val="RegularBody"/>
        <w:ind w:left="-142" w:right="-7"/>
      </w:pPr>
      <w:r w:rsidRPr="00ED11B3">
        <w:t xml:space="preserve">While the majority of the </w:t>
      </w:r>
      <w:r>
        <w:t>c</w:t>
      </w:r>
      <w:r w:rsidRPr="00ED11B3">
        <w:t xml:space="preserve">ommittee’s work occurs during the planning and preparation phases of the PiT Count, it is recommended that the </w:t>
      </w:r>
      <w:r>
        <w:t>c</w:t>
      </w:r>
      <w:r w:rsidRPr="00ED11B3">
        <w:t xml:space="preserve">ommittee continue to meet after the PiT Count. For example, the PiT Count </w:t>
      </w:r>
      <w:r>
        <w:t>c</w:t>
      </w:r>
      <w:r w:rsidRPr="00ED11B3">
        <w:t xml:space="preserve">ommittee should meet prior to significant milestones such as launching the final report and taking action on the results of the count. It is recommended that at least some of the PiT Count </w:t>
      </w:r>
      <w:r>
        <w:t>c</w:t>
      </w:r>
      <w:r w:rsidRPr="00ED11B3">
        <w:t xml:space="preserve">ommittee members remain on the </w:t>
      </w:r>
      <w:r>
        <w:t>c</w:t>
      </w:r>
      <w:r w:rsidRPr="00ED11B3">
        <w:t>ommittee for future counts; this continuity will improve the lo</w:t>
      </w:r>
      <w:r>
        <w:t>cal capacity to conduct counts.</w:t>
      </w:r>
    </w:p>
    <w:p w:rsidR="00531A80" w:rsidRDefault="00531A80" w:rsidP="00531A80">
      <w:pPr>
        <w:pStyle w:val="RegularBody"/>
        <w:spacing w:after="0"/>
        <w:ind w:left="709" w:right="845"/>
        <w:rPr>
          <w:b/>
          <w:i/>
        </w:rPr>
      </w:pPr>
    </w:p>
    <w:p w:rsidR="00531A80" w:rsidRDefault="00531A80" w:rsidP="00531A80">
      <w:pPr>
        <w:pStyle w:val="RegularBody"/>
        <w:spacing w:after="0"/>
        <w:ind w:left="709" w:right="845"/>
        <w:rPr>
          <w:b/>
          <w:i/>
        </w:rPr>
      </w:pPr>
    </w:p>
    <w:p w:rsidR="00531A80" w:rsidRDefault="00531A80" w:rsidP="00531A80">
      <w:pPr>
        <w:pStyle w:val="RegularBody"/>
        <w:spacing w:after="0"/>
        <w:ind w:left="709" w:right="845"/>
        <w:rPr>
          <w:b/>
          <w:i/>
        </w:rPr>
      </w:pPr>
    </w:p>
    <w:p w:rsidR="00531A80" w:rsidRDefault="00531A80" w:rsidP="00531A80">
      <w:pPr>
        <w:pStyle w:val="RegularBody"/>
        <w:spacing w:after="0"/>
        <w:ind w:left="709" w:right="845"/>
        <w:rPr>
          <w:b/>
          <w:i/>
        </w:rPr>
      </w:pPr>
    </w:p>
    <w:p w:rsidR="00531A80" w:rsidRDefault="00531A80" w:rsidP="00531A80">
      <w:pPr>
        <w:pStyle w:val="RegularBody"/>
        <w:spacing w:after="0"/>
        <w:ind w:left="709" w:right="845"/>
        <w:rPr>
          <w:b/>
          <w:i/>
        </w:rPr>
      </w:pPr>
      <w:r w:rsidRPr="001474A0">
        <w:rPr>
          <w:b/>
          <w:i/>
        </w:rPr>
        <w:lastRenderedPageBreak/>
        <w:t>Example</w:t>
      </w:r>
    </w:p>
    <w:p w:rsidR="00531A80" w:rsidRPr="00ED11B3" w:rsidRDefault="00531A80" w:rsidP="00531A80">
      <w:pPr>
        <w:pStyle w:val="RegularBody"/>
        <w:ind w:left="709" w:right="843"/>
      </w:pPr>
      <w:r>
        <w:tab/>
      </w:r>
      <w:r w:rsidRPr="00ED11B3">
        <w:t xml:space="preserve">All PiT Count </w:t>
      </w:r>
      <w:r>
        <w:t>c</w:t>
      </w:r>
      <w:r w:rsidRPr="00ED11B3">
        <w:t xml:space="preserve">ommittee positions are for one year. The first PiT Count </w:t>
      </w:r>
      <w:r>
        <w:t>c</w:t>
      </w:r>
      <w:r w:rsidRPr="00ED11B3">
        <w:t xml:space="preserve">ommittee will be appointed by the Community Entity. In subsequent years, PiT Count </w:t>
      </w:r>
      <w:r>
        <w:t>c</w:t>
      </w:r>
      <w:r w:rsidRPr="00ED11B3">
        <w:t xml:space="preserve">ommittee members will be added by vote, at the discretion of the </w:t>
      </w:r>
      <w:r>
        <w:t>c</w:t>
      </w:r>
      <w:r w:rsidRPr="00ED11B3">
        <w:t xml:space="preserve">hair and/or sufficient support from the PiT Count </w:t>
      </w:r>
      <w:r>
        <w:t>c</w:t>
      </w:r>
      <w:r w:rsidRPr="00ED11B3">
        <w:t xml:space="preserve">ommittee. Original members of the PiT Count </w:t>
      </w:r>
      <w:r>
        <w:t>c</w:t>
      </w:r>
      <w:r w:rsidRPr="00ED11B3">
        <w:t xml:space="preserve">ommittee may be removed by the Chair. Note that staff or elected officials of local, regional, provincial, or federal government are not eligible for the Chair position. </w:t>
      </w:r>
    </w:p>
    <w:p w:rsidR="00531A80" w:rsidRPr="00ED11B3" w:rsidRDefault="00531A80" w:rsidP="00531A80">
      <w:pPr>
        <w:pStyle w:val="RegularBody"/>
        <w:spacing w:after="360"/>
        <w:ind w:left="709" w:right="845"/>
      </w:pPr>
      <w:r w:rsidRPr="00ED11B3">
        <w:t xml:space="preserve">There will be an attempt, at minimum, to ensure that a new person joins the PiT Count </w:t>
      </w:r>
      <w:r>
        <w:t>c</w:t>
      </w:r>
      <w:r w:rsidRPr="00ED11B3">
        <w:t xml:space="preserve">ommittee each year. Following the PiT Count, the </w:t>
      </w:r>
      <w:r>
        <w:t>c</w:t>
      </w:r>
      <w:r w:rsidRPr="00ED11B3">
        <w:t xml:space="preserve">hair and the PiT Count </w:t>
      </w:r>
      <w:r>
        <w:t>c</w:t>
      </w:r>
      <w:r w:rsidRPr="00ED11B3">
        <w:t xml:space="preserve">oordinator will review the composition of the </w:t>
      </w:r>
      <w:r>
        <w:t>c</w:t>
      </w:r>
      <w:r w:rsidRPr="00ED11B3">
        <w:t xml:space="preserve">ommittee, identify gaps and make recommendations for subsequent years. </w:t>
      </w:r>
    </w:p>
    <w:p w:rsidR="00531A80" w:rsidRPr="00ED11B3" w:rsidRDefault="00531A80" w:rsidP="00531A80">
      <w:pPr>
        <w:pStyle w:val="Heading2"/>
      </w:pPr>
      <w:bookmarkStart w:id="5" w:name="_Toc302810051"/>
      <w:r>
        <w:t>Meetings</w:t>
      </w:r>
      <w:bookmarkEnd w:id="5"/>
    </w:p>
    <w:p w:rsidR="00531A80" w:rsidRPr="00ED11B3" w:rsidRDefault="00531A80" w:rsidP="00531A80">
      <w:pPr>
        <w:pStyle w:val="RegularBody"/>
        <w:ind w:left="-142" w:right="-7"/>
      </w:pPr>
      <w:r w:rsidRPr="00ED11B3">
        <w:t xml:space="preserve">This section is primarily used to outline how often the </w:t>
      </w:r>
      <w:r>
        <w:t>c</w:t>
      </w:r>
      <w:r w:rsidRPr="00ED11B3">
        <w:t>ommittee is to meet (e.g., 2 times per month). Additional information such as when an extra meeting can be called; as well as if and how non-Committee members can attend a Committee meeting should be included.</w:t>
      </w:r>
    </w:p>
    <w:p w:rsidR="00531A80" w:rsidRDefault="00531A80" w:rsidP="00531A80">
      <w:pPr>
        <w:pStyle w:val="RegularBody"/>
        <w:spacing w:after="0"/>
        <w:ind w:left="709" w:right="845"/>
        <w:rPr>
          <w:b/>
          <w:i/>
        </w:rPr>
      </w:pPr>
      <w:r w:rsidRPr="001474A0">
        <w:rPr>
          <w:b/>
          <w:i/>
        </w:rPr>
        <w:t>Example</w:t>
      </w:r>
    </w:p>
    <w:p w:rsidR="00531A80" w:rsidRDefault="00531A80" w:rsidP="00531A80">
      <w:pPr>
        <w:pStyle w:val="RegularBody"/>
        <w:spacing w:after="360"/>
        <w:ind w:left="709" w:right="845"/>
      </w:pPr>
      <w:r w:rsidRPr="00ED11B3">
        <w:t xml:space="preserve">The PiT Count </w:t>
      </w:r>
      <w:r>
        <w:t>c</w:t>
      </w:r>
      <w:r w:rsidRPr="00ED11B3">
        <w:t>ommittee will meet at least 2 times per month within 6 months of the PiT Count date. Outside of this time, the</w:t>
      </w:r>
      <w:r>
        <w:t xml:space="preserve"> c</w:t>
      </w:r>
      <w:r w:rsidRPr="00ED11B3">
        <w:t xml:space="preserve">ommittee will meet at the direction of the </w:t>
      </w:r>
      <w:r>
        <w:t>c</w:t>
      </w:r>
      <w:r w:rsidRPr="00ED11B3">
        <w:t xml:space="preserve">hair. The </w:t>
      </w:r>
      <w:r>
        <w:t>c</w:t>
      </w:r>
      <w:r w:rsidRPr="00ED11B3">
        <w:t xml:space="preserve">hair, at the request of the PiT Count </w:t>
      </w:r>
      <w:r>
        <w:t>c</w:t>
      </w:r>
      <w:r w:rsidRPr="00ED11B3">
        <w:t>oordinator, may call additional meetings. Non-</w:t>
      </w:r>
      <w:r>
        <w:t>c</w:t>
      </w:r>
      <w:r w:rsidRPr="00ED11B3">
        <w:t>ommittee or Sub</w:t>
      </w:r>
      <w:r>
        <w:t>c</w:t>
      </w:r>
      <w:r w:rsidRPr="00ED11B3">
        <w:t xml:space="preserve">ommittee members may attend meetings upon notification to the </w:t>
      </w:r>
      <w:r>
        <w:t>c</w:t>
      </w:r>
      <w:r w:rsidRPr="00ED11B3">
        <w:t xml:space="preserve">hair and approval from the </w:t>
      </w:r>
      <w:r>
        <w:t>c</w:t>
      </w:r>
      <w:r w:rsidRPr="00ED11B3">
        <w:t>ommittee.</w:t>
      </w:r>
      <w:bookmarkStart w:id="6" w:name="_Toc302810052"/>
    </w:p>
    <w:p w:rsidR="00531A80" w:rsidRPr="00ED11B3" w:rsidRDefault="00531A80" w:rsidP="00531A80">
      <w:pPr>
        <w:pStyle w:val="Heading2"/>
      </w:pPr>
      <w:r>
        <w:t>Decision-making</w:t>
      </w:r>
      <w:bookmarkEnd w:id="6"/>
    </w:p>
    <w:p w:rsidR="00531A80" w:rsidRPr="00ED11B3" w:rsidRDefault="00531A80" w:rsidP="00531A80">
      <w:pPr>
        <w:pStyle w:val="RegularBody"/>
        <w:tabs>
          <w:tab w:val="left" w:pos="8640"/>
        </w:tabs>
        <w:ind w:left="-142" w:right="-7"/>
      </w:pPr>
      <w:r w:rsidRPr="00ED11B3">
        <w:t xml:space="preserve">This section describes when </w:t>
      </w:r>
      <w:r>
        <w:t>q</w:t>
      </w:r>
      <w:r w:rsidRPr="00ED11B3">
        <w:t xml:space="preserve">uorum is met (i.e., if 50% or more of the members are present at a meeting). Furthermore, this section may also outline the decision-making framework (i.e., consensus and/or majority-rules framework) of the </w:t>
      </w:r>
      <w:r>
        <w:t>c</w:t>
      </w:r>
      <w:r w:rsidRPr="00ED11B3">
        <w:t>ommittee.</w:t>
      </w:r>
    </w:p>
    <w:p w:rsidR="00531A80" w:rsidRDefault="00531A80" w:rsidP="00531A80">
      <w:pPr>
        <w:pStyle w:val="RegularBody"/>
        <w:spacing w:after="0"/>
        <w:ind w:left="709" w:right="845"/>
        <w:rPr>
          <w:b/>
          <w:i/>
        </w:rPr>
      </w:pPr>
      <w:r w:rsidRPr="001474A0">
        <w:rPr>
          <w:b/>
          <w:i/>
        </w:rPr>
        <w:t>Example</w:t>
      </w:r>
    </w:p>
    <w:p w:rsidR="00531A80" w:rsidRPr="00ED11B3" w:rsidRDefault="00531A80" w:rsidP="00531A80">
      <w:pPr>
        <w:pStyle w:val="RegularBody"/>
        <w:ind w:left="709" w:right="843"/>
      </w:pPr>
      <w:r w:rsidRPr="00ED11B3">
        <w:rPr>
          <w:lang w:val="en-US"/>
        </w:rPr>
        <w:t xml:space="preserve">Quorum will consist of 50% of the PiT Count </w:t>
      </w:r>
      <w:r>
        <w:rPr>
          <w:lang w:val="en-US"/>
        </w:rPr>
        <w:t>c</w:t>
      </w:r>
      <w:r w:rsidRPr="00ED11B3">
        <w:rPr>
          <w:lang w:val="en-US"/>
        </w:rPr>
        <w:t xml:space="preserve">ommittee members. The Pit Count Committee decision-making framework will be one of consensus (i.e. “you can live within the decision/idea”). If consensus cannot be achieved, the </w:t>
      </w:r>
      <w:r>
        <w:rPr>
          <w:lang w:val="en-US"/>
        </w:rPr>
        <w:t>c</w:t>
      </w:r>
      <w:r w:rsidRPr="00ED11B3">
        <w:rPr>
          <w:lang w:val="en-US"/>
        </w:rPr>
        <w:t>ommittee will take a vote with a majority rules (50%+1) with quorum present. There shall be no proxy or email voting unless explicitly determine by the Committee in advance of a vote.</w:t>
      </w:r>
    </w:p>
    <w:p w:rsidR="00531A80" w:rsidRDefault="00531A80" w:rsidP="00531A80">
      <w:pPr>
        <w:pStyle w:val="Heading2"/>
      </w:pPr>
      <w:bookmarkStart w:id="7" w:name="_Toc302810053"/>
    </w:p>
    <w:p w:rsidR="00531A80" w:rsidRDefault="00531A80" w:rsidP="00531A80">
      <w:pPr>
        <w:pStyle w:val="Heading2"/>
      </w:pPr>
      <w:r>
        <w:lastRenderedPageBreak/>
        <w:t>Minutes/Reporting</w:t>
      </w:r>
      <w:bookmarkEnd w:id="7"/>
    </w:p>
    <w:p w:rsidR="00531A80" w:rsidRPr="00ED11B3" w:rsidRDefault="00531A80" w:rsidP="00531A80">
      <w:pPr>
        <w:pStyle w:val="RegularBody"/>
        <w:ind w:left="-142"/>
      </w:pPr>
      <w:r w:rsidRPr="00ED11B3">
        <w:t xml:space="preserve">This section stipulates who takes the minutes at </w:t>
      </w:r>
      <w:r>
        <w:t>c</w:t>
      </w:r>
      <w:r w:rsidRPr="00ED11B3">
        <w:t xml:space="preserve">ommittee meetings; when the minutes are approved (i.e. at subsequent meetings); and how long minutes will be kept and stored.  </w:t>
      </w:r>
    </w:p>
    <w:p w:rsidR="00531A80" w:rsidRDefault="00531A80" w:rsidP="00531A80">
      <w:pPr>
        <w:pStyle w:val="RegularBody"/>
        <w:spacing w:after="0"/>
        <w:ind w:left="709" w:right="845"/>
        <w:rPr>
          <w:b/>
          <w:i/>
        </w:rPr>
      </w:pPr>
      <w:r w:rsidRPr="001474A0">
        <w:rPr>
          <w:b/>
          <w:i/>
        </w:rPr>
        <w:t>Example</w:t>
      </w:r>
    </w:p>
    <w:p w:rsidR="00531A80" w:rsidRPr="00ED11B3" w:rsidRDefault="00531A80" w:rsidP="00531A80">
      <w:pPr>
        <w:pStyle w:val="RegularBody"/>
        <w:ind w:left="709" w:right="843"/>
      </w:pPr>
      <w:r w:rsidRPr="00ED11B3">
        <w:t xml:space="preserve">The staff supporting the </w:t>
      </w:r>
      <w:r>
        <w:t>c</w:t>
      </w:r>
      <w:r w:rsidRPr="00ED11B3">
        <w:t xml:space="preserve">ommittee shall take minutes at the </w:t>
      </w:r>
      <w:r>
        <w:t>c</w:t>
      </w:r>
      <w:r w:rsidRPr="00ED11B3">
        <w:t xml:space="preserve">ommittee meetings and the minutes shall be approved at subsequent meetings. Minutes will be kept and stored for five years.  </w:t>
      </w:r>
    </w:p>
    <w:p w:rsidR="00531A80" w:rsidRPr="00531A80" w:rsidRDefault="00531A80" w:rsidP="00531A80"/>
    <w:sectPr w:rsidR="00531A80" w:rsidRPr="00531A80"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3A" w:rsidRDefault="00B70D3A" w:rsidP="002D35C5">
      <w:r>
        <w:separator/>
      </w:r>
    </w:p>
  </w:endnote>
  <w:endnote w:type="continuationSeparator" w:id="1">
    <w:p w:rsidR="00B70D3A" w:rsidRDefault="00B70D3A" w:rsidP="002D3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3A" w:rsidRDefault="00B70D3A" w:rsidP="002D35C5">
      <w:r>
        <w:separator/>
      </w:r>
    </w:p>
  </w:footnote>
  <w:footnote w:type="continuationSeparator" w:id="1">
    <w:p w:rsidR="00B70D3A" w:rsidRDefault="00B70D3A" w:rsidP="002D3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Default="00DF63C9">
    <w:pPr>
      <w:pStyle w:val="Header"/>
    </w:pPr>
    <w:r>
      <w:rPr>
        <w:noProof/>
        <w:lang w:val="en-US"/>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-449580</wp:posOffset>
          </wp:positionV>
          <wp:extent cx="7886700" cy="2319020"/>
          <wp:effectExtent l="0" t="0" r="12700" b="0"/>
          <wp:wrapTight wrapText="bothSides">
            <wp:wrapPolygon edited="0">
              <wp:start x="0" y="0"/>
              <wp:lineTo x="0" y="21292"/>
              <wp:lineTo x="21565" y="21292"/>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86700" cy="23190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91B68"/>
    <w:multiLevelType w:val="hybridMultilevel"/>
    <w:tmpl w:val="216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3432"/>
    <w:multiLevelType w:val="hybridMultilevel"/>
    <w:tmpl w:val="522601AC"/>
    <w:lvl w:ilvl="0" w:tplc="04090001">
      <w:start w:val="1"/>
      <w:numFmt w:val="bullet"/>
      <w:lvlText w:val=""/>
      <w:lvlJc w:val="left"/>
      <w:pPr>
        <w:ind w:left="2480" w:hanging="360"/>
      </w:pPr>
      <w:rPr>
        <w:rFonts w:ascii="Symbol" w:hAnsi="Symbol"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3">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63199"/>
    <w:multiLevelType w:val="hybridMultilevel"/>
    <w:tmpl w:val="E96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D7B14"/>
    <w:multiLevelType w:val="hybridMultilevel"/>
    <w:tmpl w:val="7BB2D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02278"/>
    <w:multiLevelType w:val="hybridMultilevel"/>
    <w:tmpl w:val="129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52394"/>
    <w:multiLevelType w:val="hybridMultilevel"/>
    <w:tmpl w:val="1A68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7"/>
  </w:num>
  <w:num w:numId="6">
    <w:abstractNumId w:val="5"/>
  </w:num>
  <w:num w:numId="7">
    <w:abstractNumId w:val="2"/>
  </w:num>
  <w:num w:numId="8">
    <w:abstractNumId w:val="9"/>
  </w:num>
  <w:num w:numId="9">
    <w:abstractNumId w:val="6"/>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2D35C5"/>
    <w:rsid w:val="00122D66"/>
    <w:rsid w:val="00163545"/>
    <w:rsid w:val="00252D7B"/>
    <w:rsid w:val="002C675B"/>
    <w:rsid w:val="002D35C5"/>
    <w:rsid w:val="002E6F5D"/>
    <w:rsid w:val="003424EE"/>
    <w:rsid w:val="003D17F3"/>
    <w:rsid w:val="003F13AB"/>
    <w:rsid w:val="00531A80"/>
    <w:rsid w:val="00552980"/>
    <w:rsid w:val="006339F2"/>
    <w:rsid w:val="007054D1"/>
    <w:rsid w:val="00713CFF"/>
    <w:rsid w:val="00730BE9"/>
    <w:rsid w:val="00765CE6"/>
    <w:rsid w:val="007A2098"/>
    <w:rsid w:val="00A004BD"/>
    <w:rsid w:val="00A149F7"/>
    <w:rsid w:val="00B35BD5"/>
    <w:rsid w:val="00B70D3A"/>
    <w:rsid w:val="00CE6043"/>
    <w:rsid w:val="00D9275E"/>
    <w:rsid w:val="00DF63C9"/>
    <w:rsid w:val="00F67C8D"/>
    <w:rsid w:val="00FA5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45"/>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 w:type="table" w:styleId="MediumList2">
    <w:name w:val="Medium List 2"/>
    <w:basedOn w:val="TableNormal"/>
    <w:uiPriority w:val="66"/>
    <w:rsid w:val="00531A8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 w:type="table" w:styleId="MediumList2">
    <w:name w:val="Medium List 2"/>
    <w:basedOn w:val="TableNormal"/>
    <w:uiPriority w:val="66"/>
    <w:rsid w:val="00531A8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5671</Characters>
  <Application>Microsoft Office Word</Application>
  <DocSecurity>0</DocSecurity>
  <Lines>47</Lines>
  <Paragraphs>13</Paragraphs>
  <ScaleCrop>false</ScaleCrop>
  <Company>York University</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Windows User</cp:lastModifiedBy>
  <cp:revision>2</cp:revision>
  <dcterms:created xsi:type="dcterms:W3CDTF">2019-09-23T21:09:00Z</dcterms:created>
  <dcterms:modified xsi:type="dcterms:W3CDTF">2019-09-23T21:09:00Z</dcterms:modified>
</cp:coreProperties>
</file>