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B77A" w14:textId="77777777" w:rsidR="00954C09" w:rsidRPr="007D272C" w:rsidRDefault="000F581D" w:rsidP="00954C09">
      <w:pPr>
        <w:keepNext/>
        <w:keepLines/>
        <w:jc w:val="both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lang w:val="en-CA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  <w:lang w:val="en-CA"/>
        </w:rPr>
        <w:t>Everyone Counts 2021</w:t>
      </w:r>
    </w:p>
    <w:p w14:paraId="5F4AA10E" w14:textId="7C833891" w:rsidR="00954C09" w:rsidRPr="00114FDD" w:rsidRDefault="000F581D" w:rsidP="00954C09">
      <w:pPr>
        <w:contextualSpacing/>
        <w:jc w:val="both"/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</w:pPr>
      <w:proofErr w:type="gramStart"/>
      <w:r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>4</w:t>
      </w:r>
      <w:proofErr w:type="gramEnd"/>
      <w:r w:rsidR="00954C09" w:rsidRPr="00114FDD"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 xml:space="preserve"> Key Decision Points for </w:t>
      </w:r>
      <w:r w:rsidR="009E3EFC"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>Proceeding with P</w:t>
      </w:r>
      <w:r w:rsidRPr="000F581D"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 xml:space="preserve">lans for a 2021 </w:t>
      </w:r>
      <w:proofErr w:type="spellStart"/>
      <w:r w:rsidRPr="000F581D"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>PiT</w:t>
      </w:r>
      <w:proofErr w:type="spellEnd"/>
      <w:r w:rsidRPr="000F581D">
        <w:rPr>
          <w:rFonts w:ascii="Calibri Light" w:eastAsia="Times New Roman" w:hAnsi="Calibri Light" w:cs="Times New Roman"/>
          <w:spacing w:val="-10"/>
          <w:kern w:val="28"/>
          <w:sz w:val="52"/>
          <w:szCs w:val="56"/>
          <w:lang w:val="en-CA"/>
        </w:rPr>
        <w:t xml:space="preserve"> Count </w:t>
      </w:r>
    </w:p>
    <w:p w14:paraId="4D1178D7" w14:textId="77777777" w:rsidR="00954C09" w:rsidRDefault="00954C09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</w:p>
    <w:p w14:paraId="3255B962" w14:textId="0979A314" w:rsidR="00954C09" w:rsidRDefault="00954C09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sz w:val="22"/>
          <w:szCs w:val="22"/>
          <w:lang w:val="en-CA"/>
        </w:rPr>
        <w:t>The Reaching Home standards for participating in the</w:t>
      </w:r>
      <w:r w:rsidR="000F581D">
        <w:rPr>
          <w:rFonts w:ascii="Calibri" w:eastAsia="Times New Roman" w:hAnsi="Calibri" w:cs="Times New Roman"/>
          <w:sz w:val="22"/>
          <w:szCs w:val="22"/>
          <w:lang w:val="en-CA"/>
        </w:rPr>
        <w:t xml:space="preserve"> 2021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Canadian Coordinated Point-in-Time (</w:t>
      </w:r>
      <w:proofErr w:type="spellStart"/>
      <w:r>
        <w:rPr>
          <w:rFonts w:ascii="Calibri" w:eastAsia="Times New Roman" w:hAnsi="Calibri" w:cs="Times New Roman"/>
          <w:sz w:val="22"/>
          <w:szCs w:val="22"/>
          <w:lang w:val="en-CA"/>
        </w:rPr>
        <w:t>PiT</w:t>
      </w:r>
      <w:proofErr w:type="spellEnd"/>
      <w:r>
        <w:rPr>
          <w:rFonts w:ascii="Calibri" w:eastAsia="Times New Roman" w:hAnsi="Calibri" w:cs="Times New Roman"/>
          <w:sz w:val="22"/>
          <w:szCs w:val="22"/>
          <w:lang w:val="en-CA"/>
        </w:rPr>
        <w:t>) Count provide flexibility for communities to adapt the</w:t>
      </w:r>
      <w:r w:rsidR="00782AF5">
        <w:rPr>
          <w:rFonts w:ascii="Calibri" w:eastAsia="Times New Roman" w:hAnsi="Calibri" w:cs="Times New Roman"/>
          <w:sz w:val="22"/>
          <w:szCs w:val="22"/>
          <w:lang w:val="en-CA"/>
        </w:rPr>
        <w:t>ir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approach</w:t>
      </w:r>
      <w:r w:rsidR="000F581D">
        <w:rPr>
          <w:rFonts w:ascii="Calibri" w:eastAsia="Times New Roman" w:hAnsi="Calibri" w:cs="Times New Roman"/>
          <w:sz w:val="22"/>
          <w:szCs w:val="22"/>
          <w:lang w:val="en-CA"/>
        </w:rPr>
        <w:t xml:space="preserve"> in light of the local effects of the COVID-19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</w:t>
      </w:r>
      <w:r w:rsidR="000F581D">
        <w:rPr>
          <w:rFonts w:ascii="Calibri" w:eastAsia="Times New Roman" w:hAnsi="Calibri" w:cs="Times New Roman"/>
          <w:sz w:val="22"/>
          <w:szCs w:val="22"/>
          <w:lang w:val="en-CA"/>
        </w:rPr>
        <w:t xml:space="preserve">pandemic. 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Below </w:t>
      </w:r>
      <w:r w:rsidR="00782AF5">
        <w:rPr>
          <w:rFonts w:ascii="Calibri" w:eastAsia="Times New Roman" w:hAnsi="Calibri" w:cs="Times New Roman"/>
          <w:sz w:val="22"/>
          <w:szCs w:val="22"/>
          <w:lang w:val="en-CA"/>
        </w:rPr>
        <w:t>is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a list of </w:t>
      </w:r>
      <w:r w:rsidR="000F581D">
        <w:rPr>
          <w:rFonts w:ascii="Calibri" w:eastAsia="Times New Roman" w:hAnsi="Calibri" w:cs="Times New Roman"/>
          <w:sz w:val="22"/>
          <w:szCs w:val="22"/>
          <w:lang w:val="en-CA"/>
        </w:rPr>
        <w:t>four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key decisions </w:t>
      </w:r>
      <w:r w:rsidR="00782AF5">
        <w:rPr>
          <w:rFonts w:ascii="Calibri" w:eastAsia="Times New Roman" w:hAnsi="Calibri" w:cs="Times New Roman"/>
          <w:sz w:val="22"/>
          <w:szCs w:val="22"/>
          <w:lang w:val="en-CA"/>
        </w:rPr>
        <w:t>to support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local implementation, along with some considerations. </w:t>
      </w:r>
      <w:r w:rsidRPr="00954C09">
        <w:rPr>
          <w:rFonts w:ascii="Calibri" w:eastAsia="Times New Roman" w:hAnsi="Calibri" w:cs="Times New Roman"/>
          <w:sz w:val="22"/>
          <w:szCs w:val="22"/>
          <w:lang w:val="en-CA"/>
        </w:rPr>
        <w:t xml:space="preserve">For any questions related to these </w:t>
      </w:r>
      <w:r w:rsidR="00782AF5">
        <w:rPr>
          <w:rFonts w:ascii="Calibri" w:eastAsia="Times New Roman" w:hAnsi="Calibri" w:cs="Times New Roman"/>
          <w:sz w:val="22"/>
          <w:szCs w:val="22"/>
          <w:lang w:val="en-CA"/>
        </w:rPr>
        <w:t>decision points</w:t>
      </w:r>
      <w:r w:rsidRPr="00954C09">
        <w:rPr>
          <w:rFonts w:ascii="Calibri" w:eastAsia="Times New Roman" w:hAnsi="Calibri" w:cs="Times New Roman"/>
          <w:sz w:val="22"/>
          <w:szCs w:val="22"/>
          <w:lang w:val="en-CA"/>
        </w:rPr>
        <w:t xml:space="preserve">, contact </w:t>
      </w:r>
      <w:hyperlink r:id="rId8" w:history="1">
        <w:r w:rsidRPr="00954C09">
          <w:rPr>
            <w:rFonts w:ascii="Calibri" w:eastAsia="Times New Roman" w:hAnsi="Calibri" w:cs="Times New Roman"/>
            <w:color w:val="0563C1"/>
            <w:sz w:val="22"/>
            <w:szCs w:val="22"/>
            <w:u w:val="single"/>
            <w:lang w:val="en-CA"/>
          </w:rPr>
          <w:t>hpsr@hrsdc-rhdcc.gc.ca</w:t>
        </w:r>
      </w:hyperlink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. </w:t>
      </w:r>
      <w:r w:rsidRPr="00954C09">
        <w:rPr>
          <w:rFonts w:ascii="Calibri" w:eastAsia="Times New Roman" w:hAnsi="Calibri" w:cs="Times New Roman"/>
          <w:sz w:val="22"/>
          <w:szCs w:val="22"/>
          <w:lang w:val="en-CA"/>
        </w:rPr>
        <w:t xml:space="preserve"> </w:t>
      </w:r>
    </w:p>
    <w:p w14:paraId="1DB59FF2" w14:textId="77777777" w:rsidR="00566D11" w:rsidRDefault="00566D11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</w:p>
    <w:p w14:paraId="5BC5DB5B" w14:textId="406F9227" w:rsidR="00566D11" w:rsidRDefault="00782AF5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There are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CA"/>
        </w:rPr>
        <w:t>4</w:t>
      </w:r>
      <w:proofErr w:type="gramEnd"/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components to the Count. </w:t>
      </w:r>
      <w:r w:rsidR="00566D11">
        <w:rPr>
          <w:rFonts w:ascii="Calibri" w:eastAsia="Times New Roman" w:hAnsi="Calibri" w:cs="Times New Roman"/>
          <w:sz w:val="22"/>
          <w:szCs w:val="22"/>
          <w:lang w:val="en-CA"/>
        </w:rPr>
        <w:t xml:space="preserve">Each </w:t>
      </w:r>
      <w:proofErr w:type="gramStart"/>
      <w:r w:rsidR="00566D11">
        <w:rPr>
          <w:rFonts w:ascii="Calibri" w:eastAsia="Times New Roman" w:hAnsi="Calibri" w:cs="Times New Roman"/>
          <w:sz w:val="22"/>
          <w:szCs w:val="22"/>
          <w:lang w:val="en-CA"/>
        </w:rPr>
        <w:t>must be considered</w:t>
      </w:r>
      <w:proofErr w:type="gramEnd"/>
      <w:r w:rsidR="00566D11">
        <w:rPr>
          <w:rFonts w:ascii="Calibri" w:eastAsia="Times New Roman" w:hAnsi="Calibri" w:cs="Times New Roman"/>
          <w:sz w:val="22"/>
          <w:szCs w:val="22"/>
          <w:lang w:val="en-CA"/>
        </w:rPr>
        <w:t xml:space="preserve"> independently so that you can decide which 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one(s) </w:t>
      </w:r>
      <w:r w:rsidR="00566D11">
        <w:rPr>
          <w:rFonts w:ascii="Calibri" w:eastAsia="Times New Roman" w:hAnsi="Calibri" w:cs="Times New Roman"/>
          <w:sz w:val="22"/>
          <w:szCs w:val="22"/>
          <w:lang w:val="en-CA"/>
        </w:rPr>
        <w:t xml:space="preserve">you are going to proceed with in the spring, and which 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one(s) you </w:t>
      </w:r>
      <w:r w:rsidR="00566D11">
        <w:rPr>
          <w:rFonts w:ascii="Calibri" w:eastAsia="Times New Roman" w:hAnsi="Calibri" w:cs="Times New Roman"/>
          <w:sz w:val="22"/>
          <w:szCs w:val="22"/>
          <w:lang w:val="en-CA"/>
        </w:rPr>
        <w:t>will postpone until the fall.</w:t>
      </w:r>
    </w:p>
    <w:p w14:paraId="507D2719" w14:textId="77777777" w:rsidR="00566D11" w:rsidRDefault="00566D11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627"/>
      </w:tblGrid>
      <w:tr w:rsidR="000D234B" w:rsidRPr="000D234B" w14:paraId="5DB1E0B2" w14:textId="77777777" w:rsidTr="00566D11">
        <w:trPr>
          <w:trHeight w:val="386"/>
          <w:jc w:val="center"/>
        </w:trPr>
        <w:tc>
          <w:tcPr>
            <w:tcW w:w="1627" w:type="dxa"/>
          </w:tcPr>
          <w:p w14:paraId="6C51B947" w14:textId="77777777" w:rsidR="00566D11" w:rsidRPr="000D234B" w:rsidRDefault="00566D11" w:rsidP="00566D11">
            <w:pPr>
              <w:jc w:val="right"/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</w:pPr>
            <w:r w:rsidRPr="000D234B"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  <w:t>Unsheltered Enumeration</w:t>
            </w:r>
          </w:p>
        </w:tc>
        <w:tc>
          <w:tcPr>
            <w:tcW w:w="1627" w:type="dxa"/>
          </w:tcPr>
          <w:p w14:paraId="163DD8C6" w14:textId="77777777" w:rsidR="00566D11" w:rsidRPr="000D234B" w:rsidRDefault="00566D11" w:rsidP="00954C09">
            <w:pPr>
              <w:jc w:val="both"/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</w:pPr>
            <w:r w:rsidRPr="000D234B"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  <w:t>Unsheltered Survey</w:t>
            </w:r>
          </w:p>
        </w:tc>
        <w:bookmarkStart w:id="0" w:name="_GoBack"/>
        <w:bookmarkEnd w:id="0"/>
      </w:tr>
      <w:tr w:rsidR="000D234B" w:rsidRPr="000D234B" w14:paraId="1E9E89C7" w14:textId="77777777" w:rsidTr="00566D11">
        <w:trPr>
          <w:trHeight w:val="404"/>
          <w:jc w:val="center"/>
        </w:trPr>
        <w:tc>
          <w:tcPr>
            <w:tcW w:w="1627" w:type="dxa"/>
          </w:tcPr>
          <w:p w14:paraId="0C05F26C" w14:textId="77777777" w:rsidR="00566D11" w:rsidRPr="000D234B" w:rsidRDefault="00566D11" w:rsidP="00566D11">
            <w:pPr>
              <w:jc w:val="right"/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</w:pPr>
            <w:r w:rsidRPr="000D234B"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  <w:t>Sheltered Enumeration</w:t>
            </w:r>
          </w:p>
        </w:tc>
        <w:tc>
          <w:tcPr>
            <w:tcW w:w="1627" w:type="dxa"/>
          </w:tcPr>
          <w:p w14:paraId="5B31BFF9" w14:textId="77777777" w:rsidR="00566D11" w:rsidRPr="000D234B" w:rsidRDefault="00566D11" w:rsidP="00954C09">
            <w:pPr>
              <w:jc w:val="both"/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</w:pPr>
            <w:r w:rsidRPr="000D234B">
              <w:rPr>
                <w:rFonts w:ascii="Calibri" w:eastAsia="Times New Roman" w:hAnsi="Calibri" w:cs="Times New Roman"/>
                <w:color w:val="009999"/>
                <w:sz w:val="22"/>
                <w:szCs w:val="22"/>
                <w:lang w:val="en-CA"/>
              </w:rPr>
              <w:t>Sheltered Survey</w:t>
            </w:r>
          </w:p>
        </w:tc>
      </w:tr>
    </w:tbl>
    <w:p w14:paraId="4318545C" w14:textId="77777777" w:rsidR="00566D11" w:rsidRDefault="00566D11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</w:p>
    <w:p w14:paraId="176928B0" w14:textId="1346A887" w:rsidR="00566D11" w:rsidRDefault="00566D11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Each key decision </w:t>
      </w:r>
      <w:r w:rsidR="00782AF5">
        <w:rPr>
          <w:rFonts w:ascii="Calibri" w:eastAsia="Times New Roman" w:hAnsi="Calibri" w:cs="Times New Roman"/>
          <w:sz w:val="22"/>
          <w:szCs w:val="22"/>
          <w:lang w:val="en-CA"/>
        </w:rPr>
        <w:t xml:space="preserve">point </w:t>
      </w:r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below corresponds to one of the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CA"/>
        </w:rPr>
        <w:t>4</w:t>
      </w:r>
      <w:proofErr w:type="gramEnd"/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elements. We begin on the bottom left </w:t>
      </w:r>
      <w:proofErr w:type="gramStart"/>
      <w:r>
        <w:rPr>
          <w:rFonts w:ascii="Calibri" w:eastAsia="Times New Roman" w:hAnsi="Calibri" w:cs="Times New Roman"/>
          <w:sz w:val="22"/>
          <w:szCs w:val="22"/>
          <w:lang w:val="en-CA"/>
        </w:rPr>
        <w:t>and</w:t>
      </w:r>
      <w:proofErr w:type="gramEnd"/>
      <w:r>
        <w:rPr>
          <w:rFonts w:ascii="Calibri" w:eastAsia="Times New Roman" w:hAnsi="Calibri" w:cs="Times New Roman"/>
          <w:sz w:val="22"/>
          <w:szCs w:val="22"/>
          <w:lang w:val="en-CA"/>
        </w:rPr>
        <w:t xml:space="preserve"> proceed clockwise. </w:t>
      </w:r>
    </w:p>
    <w:p w14:paraId="384AA48E" w14:textId="77777777" w:rsidR="000F581D" w:rsidRDefault="000F581D" w:rsidP="00954C09">
      <w:pPr>
        <w:jc w:val="both"/>
        <w:rPr>
          <w:rFonts w:ascii="Calibri" w:eastAsia="Times New Roman" w:hAnsi="Calibri" w:cs="Times New Roman"/>
          <w:sz w:val="22"/>
          <w:szCs w:val="22"/>
          <w:lang w:val="en-CA"/>
        </w:rPr>
      </w:pPr>
    </w:p>
    <w:p w14:paraId="2297B367" w14:textId="77777777" w:rsidR="000F581D" w:rsidRPr="00A65C6E" w:rsidRDefault="000F581D" w:rsidP="000F58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5C6E">
        <w:rPr>
          <w:rFonts w:asciiTheme="majorHAnsi" w:hAnsiTheme="majorHAnsi" w:cstheme="majorHAnsi"/>
          <w:b/>
          <w:bCs/>
          <w:sz w:val="28"/>
          <w:szCs w:val="28"/>
        </w:rPr>
        <w:t xml:space="preserve">Key Decision 1: Can you collect administrative data on sheltered individuals for the </w:t>
      </w:r>
      <w:r w:rsidRPr="00A65C6E">
        <w:rPr>
          <w:rFonts w:asciiTheme="majorHAnsi" w:hAnsiTheme="majorHAnsi" w:cstheme="majorHAnsi"/>
          <w:b/>
          <w:bCs/>
          <w:color w:val="009999"/>
          <w:sz w:val="28"/>
          <w:szCs w:val="28"/>
        </w:rPr>
        <w:t>sheltered enumeration</w:t>
      </w:r>
      <w:r w:rsidRPr="00A65C6E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30CA4BC3" w14:textId="77777777" w:rsidR="00566D11" w:rsidRPr="000D234B" w:rsidRDefault="000D234B" w:rsidP="000F581D">
      <w:pPr>
        <w:rPr>
          <w:rFonts w:asciiTheme="majorHAnsi" w:hAnsiTheme="majorHAnsi" w:cstheme="majorHAnsi"/>
          <w:bCs/>
          <w:sz w:val="22"/>
          <w:szCs w:val="22"/>
        </w:rPr>
      </w:pPr>
      <w:r w:rsidRPr="000D234B">
        <w:rPr>
          <w:rFonts w:asciiTheme="majorHAnsi" w:hAnsiTheme="majorHAnsi" w:cstheme="majorHAnsi"/>
          <w:bCs/>
          <w:sz w:val="22"/>
          <w:szCs w:val="22"/>
        </w:rPr>
        <w:t>Collecting the data for the sheltered enumeration will likely be the element least affected by the pandemic.</w:t>
      </w:r>
    </w:p>
    <w:p w14:paraId="5BC94D68" w14:textId="77777777" w:rsidR="00EE4CFC" w:rsidRPr="000F581D" w:rsidRDefault="00EE4CFC" w:rsidP="000F581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4AB7941" w14:textId="77777777" w:rsidR="00733C2E" w:rsidRDefault="00733C2E" w:rsidP="000F581D">
      <w:pPr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you collect this administrative </w:t>
      </w:r>
      <w:r w:rsidR="00AC2122">
        <w:rPr>
          <w:rFonts w:asciiTheme="majorHAnsi" w:hAnsiTheme="majorHAnsi" w:cstheme="majorHAnsi"/>
          <w:sz w:val="22"/>
          <w:szCs w:val="22"/>
        </w:rPr>
        <w:t xml:space="preserve">data </w:t>
      </w:r>
      <w:r>
        <w:rPr>
          <w:rFonts w:asciiTheme="majorHAnsi" w:hAnsiTheme="majorHAnsi" w:cstheme="majorHAnsi"/>
          <w:sz w:val="22"/>
          <w:szCs w:val="22"/>
        </w:rPr>
        <w:t xml:space="preserve">directly </w:t>
      </w:r>
      <w:r w:rsidR="00486FBD">
        <w:rPr>
          <w:rFonts w:asciiTheme="majorHAnsi" w:hAnsiTheme="majorHAnsi" w:cstheme="majorHAnsi"/>
          <w:sz w:val="22"/>
          <w:szCs w:val="22"/>
        </w:rPr>
        <w:t xml:space="preserve">from databases </w:t>
      </w:r>
      <w:r>
        <w:rPr>
          <w:rFonts w:asciiTheme="majorHAnsi" w:hAnsiTheme="majorHAnsi" w:cstheme="majorHAnsi"/>
          <w:sz w:val="22"/>
          <w:szCs w:val="22"/>
        </w:rPr>
        <w:t>or through contacts at each organization?</w:t>
      </w:r>
    </w:p>
    <w:p w14:paraId="515790B9" w14:textId="77777777" w:rsidR="000F581D" w:rsidRPr="000F581D" w:rsidRDefault="000F581D" w:rsidP="000F581D">
      <w:pPr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 xml:space="preserve">What has changed since your preparations a year ago? </w:t>
      </w:r>
    </w:p>
    <w:p w14:paraId="2757E871" w14:textId="77777777" w:rsidR="000F581D" w:rsidRPr="000F581D" w:rsidRDefault="000F581D" w:rsidP="000F581D">
      <w:pPr>
        <w:numPr>
          <w:ilvl w:val="1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Both your organization and your partners may have had significant staff/role changes in the last year.</w:t>
      </w:r>
      <w:r w:rsidR="00733C2E">
        <w:rPr>
          <w:rFonts w:asciiTheme="majorHAnsi" w:hAnsiTheme="majorHAnsi" w:cstheme="majorHAnsi"/>
          <w:sz w:val="22"/>
          <w:szCs w:val="22"/>
        </w:rPr>
        <w:t xml:space="preserve"> If you collect data via a contact at each organization, e</w:t>
      </w:r>
      <w:r w:rsidRPr="000F581D">
        <w:rPr>
          <w:rFonts w:asciiTheme="majorHAnsi" w:hAnsiTheme="majorHAnsi" w:cstheme="majorHAnsi"/>
          <w:sz w:val="22"/>
          <w:szCs w:val="22"/>
        </w:rPr>
        <w:t>nsure that you</w:t>
      </w:r>
      <w:r w:rsidR="00733C2E">
        <w:rPr>
          <w:rFonts w:asciiTheme="majorHAnsi" w:hAnsiTheme="majorHAnsi" w:cstheme="majorHAnsi"/>
          <w:sz w:val="22"/>
          <w:szCs w:val="22"/>
        </w:rPr>
        <w:t xml:space="preserve">r contacts are up-to-date </w:t>
      </w:r>
      <w:r w:rsidRPr="000F581D">
        <w:rPr>
          <w:rFonts w:asciiTheme="majorHAnsi" w:hAnsiTheme="majorHAnsi" w:cstheme="majorHAnsi"/>
          <w:sz w:val="22"/>
          <w:szCs w:val="22"/>
        </w:rPr>
        <w:t xml:space="preserve">and that </w:t>
      </w:r>
      <w:r w:rsidR="00733C2E">
        <w:rPr>
          <w:rFonts w:asciiTheme="majorHAnsi" w:hAnsiTheme="majorHAnsi" w:cstheme="majorHAnsi"/>
          <w:sz w:val="22"/>
          <w:szCs w:val="22"/>
        </w:rPr>
        <w:t>each contact</w:t>
      </w:r>
      <w:r w:rsidRPr="000F581D">
        <w:rPr>
          <w:rFonts w:asciiTheme="majorHAnsi" w:hAnsiTheme="majorHAnsi" w:cstheme="majorHAnsi"/>
          <w:sz w:val="22"/>
          <w:szCs w:val="22"/>
        </w:rPr>
        <w:t xml:space="preserve"> understands the data requirements and timelines.</w:t>
      </w:r>
    </w:p>
    <w:p w14:paraId="727D0BB8" w14:textId="77777777" w:rsidR="000616DE" w:rsidRPr="000F581D" w:rsidRDefault="000616DE" w:rsidP="000616DE">
      <w:pPr>
        <w:numPr>
          <w:ilvl w:val="1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Are there additional shelters or transitional housing programs to include? These could be temporary overflow or</w:t>
      </w:r>
      <w:r>
        <w:rPr>
          <w:rFonts w:asciiTheme="majorHAnsi" w:hAnsiTheme="majorHAnsi" w:cstheme="majorHAnsi"/>
          <w:sz w:val="22"/>
          <w:szCs w:val="22"/>
        </w:rPr>
        <w:t xml:space="preserve"> COVID-19</w:t>
      </w:r>
      <w:r w:rsidRPr="000F581D">
        <w:rPr>
          <w:rFonts w:asciiTheme="majorHAnsi" w:hAnsiTheme="majorHAnsi" w:cstheme="majorHAnsi"/>
          <w:sz w:val="22"/>
          <w:szCs w:val="22"/>
        </w:rPr>
        <w:t xml:space="preserve"> isolation sites as well as </w:t>
      </w:r>
      <w:r>
        <w:rPr>
          <w:rFonts w:asciiTheme="majorHAnsi" w:hAnsiTheme="majorHAnsi" w:cstheme="majorHAnsi"/>
          <w:sz w:val="22"/>
          <w:szCs w:val="22"/>
        </w:rPr>
        <w:t xml:space="preserve">other </w:t>
      </w:r>
      <w:r w:rsidRPr="000F581D">
        <w:rPr>
          <w:rFonts w:asciiTheme="majorHAnsi" w:hAnsiTheme="majorHAnsi" w:cstheme="majorHAnsi"/>
          <w:sz w:val="22"/>
          <w:szCs w:val="22"/>
        </w:rPr>
        <w:t xml:space="preserve">new </w:t>
      </w:r>
      <w:r>
        <w:rPr>
          <w:rFonts w:asciiTheme="majorHAnsi" w:hAnsiTheme="majorHAnsi" w:cstheme="majorHAnsi"/>
          <w:sz w:val="22"/>
          <w:szCs w:val="22"/>
        </w:rPr>
        <w:t xml:space="preserve">permanent </w:t>
      </w:r>
      <w:r w:rsidRPr="000F581D">
        <w:rPr>
          <w:rFonts w:asciiTheme="majorHAnsi" w:hAnsiTheme="majorHAnsi" w:cstheme="majorHAnsi"/>
          <w:sz w:val="22"/>
          <w:szCs w:val="22"/>
        </w:rPr>
        <w:t>programs.</w:t>
      </w:r>
    </w:p>
    <w:p w14:paraId="4237756C" w14:textId="77777777" w:rsidR="000616DE" w:rsidRPr="000F581D" w:rsidRDefault="000616DE" w:rsidP="000616DE">
      <w:pPr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Will you include data from health and correctional systems?</w:t>
      </w:r>
      <w:r>
        <w:rPr>
          <w:rFonts w:asciiTheme="majorHAnsi" w:hAnsiTheme="majorHAnsi" w:cstheme="majorHAnsi"/>
          <w:sz w:val="22"/>
          <w:szCs w:val="22"/>
        </w:rPr>
        <w:t xml:space="preserve"> Do you have sufficient </w:t>
      </w:r>
      <w:proofErr w:type="gramStart"/>
      <w:r>
        <w:rPr>
          <w:rFonts w:asciiTheme="majorHAnsi" w:hAnsiTheme="majorHAnsi" w:cstheme="majorHAnsi"/>
          <w:sz w:val="22"/>
          <w:szCs w:val="22"/>
        </w:rPr>
        <w:t>lead time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to gather this data? This data </w:t>
      </w:r>
      <w:proofErr w:type="gramStart"/>
      <w:r>
        <w:rPr>
          <w:rFonts w:asciiTheme="majorHAnsi" w:hAnsiTheme="majorHAnsi" w:cstheme="majorHAnsi"/>
          <w:sz w:val="22"/>
          <w:szCs w:val="22"/>
        </w:rPr>
        <w:t>is not required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by ESDC, but if you have collected it in past counts, you may want to continue to do so for consistency.</w:t>
      </w:r>
    </w:p>
    <w:p w14:paraId="64A09982" w14:textId="77777777" w:rsidR="000F581D" w:rsidRPr="000F581D" w:rsidRDefault="000F581D" w:rsidP="000F581D">
      <w:pPr>
        <w:numPr>
          <w:ilvl w:val="1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lastRenderedPageBreak/>
        <w:t xml:space="preserve">Both your organization and your partners may be dealing with strained staffing resources. </w:t>
      </w:r>
      <w:r w:rsidR="00733C2E">
        <w:rPr>
          <w:rFonts w:asciiTheme="majorHAnsi" w:hAnsiTheme="majorHAnsi" w:cstheme="majorHAnsi"/>
          <w:sz w:val="22"/>
          <w:szCs w:val="22"/>
        </w:rPr>
        <w:t xml:space="preserve">Aim to reduce </w:t>
      </w:r>
      <w:r w:rsidR="00242F26">
        <w:rPr>
          <w:rFonts w:asciiTheme="majorHAnsi" w:hAnsiTheme="majorHAnsi" w:cstheme="majorHAnsi"/>
          <w:sz w:val="22"/>
          <w:szCs w:val="22"/>
        </w:rPr>
        <w:t>the administrative burden as much as possible.</w:t>
      </w:r>
    </w:p>
    <w:p w14:paraId="12404FBF" w14:textId="77777777" w:rsidR="000F581D" w:rsidRPr="00A65C6E" w:rsidRDefault="000F581D" w:rsidP="000F58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5C6E">
        <w:rPr>
          <w:rFonts w:asciiTheme="majorHAnsi" w:hAnsiTheme="majorHAnsi" w:cstheme="majorHAnsi"/>
          <w:b/>
          <w:bCs/>
          <w:sz w:val="28"/>
          <w:szCs w:val="28"/>
        </w:rPr>
        <w:t xml:space="preserve">Key Decision 2: Can you </w:t>
      </w:r>
      <w:r w:rsidRPr="00A65C6E">
        <w:rPr>
          <w:rFonts w:asciiTheme="majorHAnsi" w:hAnsiTheme="majorHAnsi" w:cstheme="majorHAnsi"/>
          <w:b/>
          <w:bCs/>
          <w:color w:val="009999"/>
          <w:sz w:val="28"/>
          <w:szCs w:val="28"/>
        </w:rPr>
        <w:t xml:space="preserve">enumerate unsheltered </w:t>
      </w:r>
      <w:r w:rsidRPr="00A65C6E">
        <w:rPr>
          <w:rFonts w:asciiTheme="majorHAnsi" w:hAnsiTheme="majorHAnsi" w:cstheme="majorHAnsi"/>
          <w:b/>
          <w:bCs/>
          <w:sz w:val="28"/>
          <w:szCs w:val="28"/>
        </w:rPr>
        <w:t>individuals in your community?</w:t>
      </w:r>
    </w:p>
    <w:p w14:paraId="4840099C" w14:textId="77777777" w:rsidR="000D234B" w:rsidRPr="000D234B" w:rsidRDefault="000D234B" w:rsidP="000F581D">
      <w:pPr>
        <w:rPr>
          <w:rFonts w:asciiTheme="majorHAnsi" w:hAnsiTheme="majorHAnsi" w:cstheme="majorHAnsi"/>
          <w:bCs/>
          <w:sz w:val="22"/>
          <w:szCs w:val="22"/>
        </w:rPr>
      </w:pPr>
      <w:r w:rsidRPr="000D234B">
        <w:rPr>
          <w:rFonts w:asciiTheme="majorHAnsi" w:hAnsiTheme="majorHAnsi" w:cstheme="majorHAnsi"/>
          <w:bCs/>
          <w:sz w:val="22"/>
          <w:szCs w:val="22"/>
        </w:rPr>
        <w:t xml:space="preserve">This data will be more challenging to collect than the sheltered data, but it </w:t>
      </w:r>
      <w:r w:rsidR="00486FBD">
        <w:rPr>
          <w:rFonts w:asciiTheme="majorHAnsi" w:hAnsiTheme="majorHAnsi" w:cstheme="majorHAnsi"/>
          <w:bCs/>
          <w:sz w:val="22"/>
          <w:szCs w:val="22"/>
        </w:rPr>
        <w:t xml:space="preserve">is key to completing </w:t>
      </w:r>
      <w:r w:rsidRPr="000D234B">
        <w:rPr>
          <w:rFonts w:asciiTheme="majorHAnsi" w:hAnsiTheme="majorHAnsi" w:cstheme="majorHAnsi"/>
          <w:bCs/>
          <w:sz w:val="22"/>
          <w:szCs w:val="22"/>
        </w:rPr>
        <w:t>the picture for your community’s enumeration</w:t>
      </w:r>
      <w:r w:rsidR="00486FBD">
        <w:rPr>
          <w:rFonts w:asciiTheme="majorHAnsi" w:hAnsiTheme="majorHAnsi" w:cstheme="majorHAnsi"/>
          <w:bCs/>
          <w:sz w:val="22"/>
          <w:szCs w:val="22"/>
        </w:rPr>
        <w:t xml:space="preserve"> of core populations</w:t>
      </w:r>
      <w:r w:rsidRPr="000D234B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This data is especially relevant during the pandemic because of multiple anecdotal reports of increases in this population.</w:t>
      </w:r>
    </w:p>
    <w:p w14:paraId="5BBD7A7D" w14:textId="77777777" w:rsidR="00EE4CFC" w:rsidRPr="000F581D" w:rsidRDefault="00EE4CFC" w:rsidP="000F581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10FEEE" w14:textId="77777777" w:rsidR="000F581D" w:rsidRPr="000F581D" w:rsidRDefault="000F581D" w:rsidP="000F581D">
      <w:pPr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Refers to administering screening questions OR the observational tally sheet ONLY</w:t>
      </w:r>
      <w:r w:rsidR="00486FBD">
        <w:rPr>
          <w:rFonts w:asciiTheme="majorHAnsi" w:hAnsiTheme="majorHAnsi" w:cstheme="majorHAnsi"/>
          <w:sz w:val="22"/>
          <w:szCs w:val="22"/>
        </w:rPr>
        <w:t xml:space="preserve"> – not the full survey</w:t>
      </w:r>
      <w:r w:rsidR="00782AF5">
        <w:rPr>
          <w:rFonts w:asciiTheme="majorHAnsi" w:hAnsiTheme="majorHAnsi" w:cstheme="majorHAnsi"/>
          <w:sz w:val="22"/>
          <w:szCs w:val="22"/>
        </w:rPr>
        <w:t>.</w:t>
      </w:r>
    </w:p>
    <w:p w14:paraId="1A10AB0F" w14:textId="77777777" w:rsidR="000F581D" w:rsidRPr="000F581D" w:rsidRDefault="000F581D" w:rsidP="000F581D">
      <w:pPr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Do you and your count partners have the resources to implement the planning?</w:t>
      </w:r>
      <w:r w:rsidR="00D46402">
        <w:rPr>
          <w:rFonts w:asciiTheme="majorHAnsi" w:hAnsiTheme="majorHAnsi" w:cstheme="majorHAnsi"/>
          <w:sz w:val="22"/>
          <w:szCs w:val="22"/>
        </w:rPr>
        <w:t xml:space="preserve"> Coverage areas will need to be determined</w:t>
      </w:r>
      <w:r w:rsidR="00A0779E">
        <w:rPr>
          <w:rFonts w:asciiTheme="majorHAnsi" w:hAnsiTheme="majorHAnsi" w:cstheme="majorHAnsi"/>
          <w:sz w:val="22"/>
          <w:szCs w:val="22"/>
        </w:rPr>
        <w:t xml:space="preserve">. </w:t>
      </w:r>
      <w:r w:rsidR="00D464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7F1394" w14:textId="6B6EA13C" w:rsidR="000F581D" w:rsidRPr="000F581D" w:rsidRDefault="00A0779E" w:rsidP="000F581D">
      <w:pPr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You </w:t>
      </w:r>
      <w:r w:rsidR="00A00748">
        <w:rPr>
          <w:rFonts w:asciiTheme="majorHAnsi" w:hAnsiTheme="majorHAnsi" w:cstheme="majorHAnsi"/>
          <w:sz w:val="22"/>
          <w:szCs w:val="22"/>
        </w:rPr>
        <w:t>may</w:t>
      </w:r>
      <w:r>
        <w:rPr>
          <w:rFonts w:asciiTheme="majorHAnsi" w:hAnsiTheme="majorHAnsi" w:cstheme="majorHAnsi"/>
          <w:sz w:val="22"/>
          <w:szCs w:val="22"/>
        </w:rPr>
        <w:t xml:space="preserve"> need to re-consider who will survey all coverage areas, as community volunteers often carried out this part of the count</w:t>
      </w:r>
      <w:r w:rsidR="00A00748">
        <w:rPr>
          <w:rFonts w:asciiTheme="majorHAnsi" w:hAnsiTheme="majorHAnsi" w:cstheme="majorHAnsi"/>
          <w:sz w:val="22"/>
          <w:szCs w:val="22"/>
        </w:rPr>
        <w:t>, and that may not be possible in 2021</w:t>
      </w:r>
      <w:r>
        <w:rPr>
          <w:rFonts w:asciiTheme="majorHAnsi" w:hAnsiTheme="majorHAnsi" w:cstheme="majorHAnsi"/>
          <w:sz w:val="22"/>
          <w:szCs w:val="22"/>
        </w:rPr>
        <w:t xml:space="preserve">. Can you engage staff from the homeless-serving sector to fill this role? </w:t>
      </w:r>
      <w:r w:rsidR="000F581D" w:rsidRPr="000F581D">
        <w:rPr>
          <w:rFonts w:asciiTheme="majorHAnsi" w:hAnsiTheme="majorHAnsi" w:cstheme="majorHAnsi"/>
          <w:sz w:val="22"/>
          <w:szCs w:val="22"/>
        </w:rPr>
        <w:t xml:space="preserve">Do you/your local outreach teams have the resources to </w:t>
      </w:r>
      <w:r w:rsidR="00F8531D">
        <w:rPr>
          <w:rFonts w:asciiTheme="majorHAnsi" w:hAnsiTheme="majorHAnsi" w:cstheme="majorHAnsi"/>
          <w:sz w:val="22"/>
          <w:szCs w:val="22"/>
        </w:rPr>
        <w:t>do this</w:t>
      </w:r>
      <w:r w:rsidR="000F581D" w:rsidRPr="000F581D">
        <w:rPr>
          <w:rFonts w:asciiTheme="majorHAnsi" w:hAnsiTheme="majorHAnsi" w:cstheme="majorHAnsi"/>
          <w:sz w:val="22"/>
          <w:szCs w:val="22"/>
        </w:rPr>
        <w:t>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8531D">
        <w:rPr>
          <w:rFonts w:asciiTheme="majorHAnsi" w:hAnsiTheme="majorHAnsi" w:cstheme="majorHAnsi"/>
          <w:sz w:val="22"/>
          <w:szCs w:val="22"/>
        </w:rPr>
        <w:t xml:space="preserve">You will want your coverage to be comparable to </w:t>
      </w:r>
      <w:r w:rsidR="00A806C7">
        <w:rPr>
          <w:rFonts w:asciiTheme="majorHAnsi" w:hAnsiTheme="majorHAnsi" w:cstheme="majorHAnsi"/>
          <w:sz w:val="22"/>
          <w:szCs w:val="22"/>
        </w:rPr>
        <w:t xml:space="preserve">the </w:t>
      </w:r>
      <w:r w:rsidR="00F8531D">
        <w:rPr>
          <w:rFonts w:asciiTheme="majorHAnsi" w:hAnsiTheme="majorHAnsi" w:cstheme="majorHAnsi"/>
          <w:sz w:val="22"/>
          <w:szCs w:val="22"/>
        </w:rPr>
        <w:t>2018 count.</w:t>
      </w:r>
    </w:p>
    <w:p w14:paraId="021EBFEE" w14:textId="77777777" w:rsidR="00B76683" w:rsidRPr="000F581D" w:rsidRDefault="00B76683" w:rsidP="00B76683">
      <w:pPr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 xml:space="preserve">Can you cover comparable ground by spreading out the enumeration among several shifts of </w:t>
      </w:r>
      <w:r>
        <w:rPr>
          <w:rFonts w:asciiTheme="majorHAnsi" w:hAnsiTheme="majorHAnsi" w:cstheme="majorHAnsi"/>
          <w:sz w:val="22"/>
          <w:szCs w:val="22"/>
        </w:rPr>
        <w:t>enumerators</w:t>
      </w:r>
      <w:r w:rsidRPr="000F581D">
        <w:rPr>
          <w:rFonts w:asciiTheme="majorHAnsi" w:hAnsiTheme="majorHAnsi" w:cstheme="majorHAnsi"/>
          <w:sz w:val="22"/>
          <w:szCs w:val="22"/>
        </w:rPr>
        <w:t xml:space="preserve"> over a full 24 hours? You would need to implement procedures to limit double counting, such as c</w:t>
      </w:r>
      <w:r>
        <w:rPr>
          <w:rFonts w:asciiTheme="majorHAnsi" w:hAnsiTheme="majorHAnsi" w:cstheme="majorHAnsi"/>
          <w:sz w:val="22"/>
          <w:szCs w:val="22"/>
        </w:rPr>
        <w:t>lear coverage areas and collecting identifying data to aid in de-duplication.</w:t>
      </w:r>
    </w:p>
    <w:p w14:paraId="70B5B28C" w14:textId="77777777" w:rsidR="000F581D" w:rsidRPr="000F581D" w:rsidRDefault="000F581D" w:rsidP="000F581D">
      <w:pPr>
        <w:numPr>
          <w:ilvl w:val="0"/>
          <w:numId w:val="10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Can you cover less ground by using a sampling approach? If you are considering this, you should consult with a statistics expert.</w:t>
      </w:r>
    </w:p>
    <w:p w14:paraId="723AE561" w14:textId="77777777" w:rsidR="000F581D" w:rsidRPr="00A65C6E" w:rsidRDefault="000F581D" w:rsidP="000F58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5C6E">
        <w:rPr>
          <w:rFonts w:asciiTheme="majorHAnsi" w:hAnsiTheme="majorHAnsi" w:cstheme="majorHAnsi"/>
          <w:b/>
          <w:bCs/>
          <w:sz w:val="28"/>
          <w:szCs w:val="28"/>
        </w:rPr>
        <w:t xml:space="preserve">Key Decision 3: Can you </w:t>
      </w:r>
      <w:r w:rsidRPr="00A65C6E">
        <w:rPr>
          <w:rFonts w:asciiTheme="majorHAnsi" w:hAnsiTheme="majorHAnsi" w:cstheme="majorHAnsi"/>
          <w:b/>
          <w:bCs/>
          <w:color w:val="009999"/>
          <w:sz w:val="28"/>
          <w:szCs w:val="28"/>
        </w:rPr>
        <w:t xml:space="preserve">survey unsheltered </w:t>
      </w:r>
      <w:r w:rsidRPr="00A65C6E">
        <w:rPr>
          <w:rFonts w:asciiTheme="majorHAnsi" w:hAnsiTheme="majorHAnsi" w:cstheme="majorHAnsi"/>
          <w:b/>
          <w:bCs/>
          <w:sz w:val="28"/>
          <w:szCs w:val="28"/>
        </w:rPr>
        <w:t>individuals in your community?</w:t>
      </w:r>
    </w:p>
    <w:p w14:paraId="587EB186" w14:textId="0F7B8D90" w:rsidR="000D234B" w:rsidRDefault="000D234B" w:rsidP="000D234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0F581D" w:rsidRPr="000F581D">
        <w:rPr>
          <w:rFonts w:asciiTheme="majorHAnsi" w:hAnsiTheme="majorHAnsi" w:cstheme="majorHAnsi"/>
          <w:sz w:val="22"/>
          <w:szCs w:val="22"/>
        </w:rPr>
        <w:t xml:space="preserve">haracteristics of unsheltered individuals are lesser known, especially for those who do not </w:t>
      </w:r>
      <w:r w:rsidR="00946AE1">
        <w:rPr>
          <w:rFonts w:asciiTheme="majorHAnsi" w:hAnsiTheme="majorHAnsi" w:cstheme="majorHAnsi"/>
          <w:sz w:val="22"/>
          <w:szCs w:val="22"/>
        </w:rPr>
        <w:t xml:space="preserve">ever </w:t>
      </w:r>
      <w:r w:rsidR="000F581D" w:rsidRPr="000F581D">
        <w:rPr>
          <w:rFonts w:asciiTheme="majorHAnsi" w:hAnsiTheme="majorHAnsi" w:cstheme="majorHAnsi"/>
          <w:sz w:val="22"/>
          <w:szCs w:val="22"/>
        </w:rPr>
        <w:t xml:space="preserve">access services. </w:t>
      </w:r>
      <w:r w:rsidR="00A806C7">
        <w:rPr>
          <w:rFonts w:asciiTheme="majorHAnsi" w:hAnsiTheme="majorHAnsi" w:cstheme="majorHAnsi"/>
          <w:sz w:val="22"/>
          <w:szCs w:val="22"/>
        </w:rPr>
        <w:t xml:space="preserve">Surveying this group in your </w:t>
      </w:r>
      <w:proofErr w:type="spellStart"/>
      <w:r w:rsidR="00A806C7">
        <w:rPr>
          <w:rFonts w:asciiTheme="majorHAnsi" w:hAnsiTheme="majorHAnsi" w:cstheme="majorHAnsi"/>
          <w:sz w:val="22"/>
          <w:szCs w:val="22"/>
        </w:rPr>
        <w:t>PiT</w:t>
      </w:r>
      <w:proofErr w:type="spellEnd"/>
      <w:r w:rsidR="00A806C7">
        <w:rPr>
          <w:rFonts w:asciiTheme="majorHAnsi" w:hAnsiTheme="majorHAnsi" w:cstheme="majorHAnsi"/>
          <w:sz w:val="22"/>
          <w:szCs w:val="22"/>
        </w:rPr>
        <w:t xml:space="preserve"> Count is important because d</w:t>
      </w:r>
      <w:r w:rsidR="000F581D" w:rsidRPr="000F581D">
        <w:rPr>
          <w:rFonts w:asciiTheme="majorHAnsi" w:hAnsiTheme="majorHAnsi" w:cstheme="majorHAnsi"/>
          <w:sz w:val="22"/>
          <w:szCs w:val="22"/>
        </w:rPr>
        <w:t xml:space="preserve">ata about these individuals </w:t>
      </w:r>
      <w:proofErr w:type="gramStart"/>
      <w:r w:rsidR="000F581D" w:rsidRPr="000F581D">
        <w:rPr>
          <w:rFonts w:asciiTheme="majorHAnsi" w:hAnsiTheme="majorHAnsi" w:cstheme="majorHAnsi"/>
          <w:sz w:val="22"/>
          <w:szCs w:val="22"/>
        </w:rPr>
        <w:t>may not be collected</w:t>
      </w:r>
      <w:proofErr w:type="gramEnd"/>
      <w:r w:rsidR="000F581D" w:rsidRPr="000F581D">
        <w:rPr>
          <w:rFonts w:asciiTheme="majorHAnsi" w:hAnsiTheme="majorHAnsi" w:cstheme="majorHAnsi"/>
          <w:sz w:val="22"/>
          <w:szCs w:val="22"/>
        </w:rPr>
        <w:t xml:space="preserve"> anywhere else. </w:t>
      </w:r>
    </w:p>
    <w:p w14:paraId="0F6D421E" w14:textId="77777777" w:rsidR="000F581D" w:rsidRPr="000F581D" w:rsidRDefault="000F581D" w:rsidP="000F581D">
      <w:pPr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 xml:space="preserve">If your community will be carrying out an unsheltered enumeration, how much added work/time will it take to administer the survey? It may be easier to enumerate and survey at the same time, </w:t>
      </w:r>
      <w:r w:rsidR="00A00748">
        <w:rPr>
          <w:rFonts w:asciiTheme="majorHAnsi" w:hAnsiTheme="majorHAnsi" w:cstheme="majorHAnsi"/>
          <w:sz w:val="22"/>
          <w:szCs w:val="22"/>
        </w:rPr>
        <w:t>rather than postpone</w:t>
      </w:r>
      <w:r w:rsidRPr="000F581D">
        <w:rPr>
          <w:rFonts w:asciiTheme="majorHAnsi" w:hAnsiTheme="majorHAnsi" w:cstheme="majorHAnsi"/>
          <w:sz w:val="22"/>
          <w:szCs w:val="22"/>
        </w:rPr>
        <w:t xml:space="preserve"> the survey to a later date.</w:t>
      </w:r>
    </w:p>
    <w:p w14:paraId="6D8E239B" w14:textId="77777777" w:rsidR="000F581D" w:rsidRDefault="000F581D" w:rsidP="000F581D">
      <w:pPr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Will you be able to cover as much ground as you have in past counts? Will administering the survey change that? Prioritize covering similar ground in order to carry out a robust enumeration over administering surveys. If administering surveys will hamper your enumeration, postpone the surveys.</w:t>
      </w:r>
    </w:p>
    <w:p w14:paraId="00F8DFAF" w14:textId="77777777" w:rsidR="000D234B" w:rsidRPr="000D234B" w:rsidRDefault="000D234B" w:rsidP="000D234B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0D234B">
        <w:rPr>
          <w:rFonts w:asciiTheme="majorHAnsi" w:hAnsiTheme="majorHAnsi" w:cstheme="majorHAnsi"/>
        </w:rPr>
        <w:t xml:space="preserve">Keep in mind that you may administer surveys to unsheltered individuals over a </w:t>
      </w:r>
      <w:proofErr w:type="gramStart"/>
      <w:r w:rsidRPr="000D234B">
        <w:rPr>
          <w:rFonts w:asciiTheme="majorHAnsi" w:hAnsiTheme="majorHAnsi" w:cstheme="majorHAnsi"/>
        </w:rPr>
        <w:t>72 hour</w:t>
      </w:r>
      <w:proofErr w:type="gramEnd"/>
      <w:r w:rsidRPr="000D234B">
        <w:rPr>
          <w:rFonts w:asciiTheme="majorHAnsi" w:hAnsiTheme="majorHAnsi" w:cstheme="majorHAnsi"/>
        </w:rPr>
        <w:t xml:space="preserve"> period.</w:t>
      </w:r>
    </w:p>
    <w:p w14:paraId="66A9DF1D" w14:textId="77777777" w:rsidR="000F581D" w:rsidRPr="00A65C6E" w:rsidRDefault="000F581D" w:rsidP="000F58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65C6E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Key Decision 4: Can you </w:t>
      </w:r>
      <w:r w:rsidRPr="00A65C6E">
        <w:rPr>
          <w:rFonts w:asciiTheme="majorHAnsi" w:hAnsiTheme="majorHAnsi" w:cstheme="majorHAnsi"/>
          <w:b/>
          <w:bCs/>
          <w:color w:val="009999"/>
          <w:sz w:val="28"/>
          <w:szCs w:val="28"/>
        </w:rPr>
        <w:t xml:space="preserve">survey sheltered </w:t>
      </w:r>
      <w:r w:rsidRPr="00A65C6E">
        <w:rPr>
          <w:rFonts w:asciiTheme="majorHAnsi" w:hAnsiTheme="majorHAnsi" w:cstheme="majorHAnsi"/>
          <w:b/>
          <w:bCs/>
          <w:sz w:val="28"/>
          <w:szCs w:val="28"/>
        </w:rPr>
        <w:t>individuals in your community?</w:t>
      </w:r>
    </w:p>
    <w:p w14:paraId="1DE151A0" w14:textId="77777777" w:rsidR="006220F4" w:rsidRPr="006220F4" w:rsidRDefault="006220F4" w:rsidP="000F581D">
      <w:pPr>
        <w:rPr>
          <w:rFonts w:asciiTheme="majorHAnsi" w:hAnsiTheme="majorHAnsi" w:cstheme="majorHAnsi"/>
          <w:bCs/>
          <w:sz w:val="22"/>
          <w:szCs w:val="22"/>
        </w:rPr>
      </w:pPr>
      <w:r w:rsidRPr="006220F4">
        <w:rPr>
          <w:rFonts w:asciiTheme="majorHAnsi" w:hAnsiTheme="majorHAnsi" w:cstheme="majorHAnsi"/>
          <w:bCs/>
          <w:sz w:val="22"/>
          <w:szCs w:val="22"/>
        </w:rPr>
        <w:t xml:space="preserve">The bulk of surveys </w:t>
      </w:r>
      <w:proofErr w:type="gramStart"/>
      <w:r w:rsidRPr="006220F4">
        <w:rPr>
          <w:rFonts w:asciiTheme="majorHAnsi" w:hAnsiTheme="majorHAnsi" w:cstheme="majorHAnsi"/>
          <w:bCs/>
          <w:sz w:val="22"/>
          <w:szCs w:val="22"/>
        </w:rPr>
        <w:t>are administered</w:t>
      </w:r>
      <w:proofErr w:type="gramEnd"/>
      <w:r w:rsidRPr="006220F4">
        <w:rPr>
          <w:rFonts w:asciiTheme="majorHAnsi" w:hAnsiTheme="majorHAnsi" w:cstheme="majorHAnsi"/>
          <w:bCs/>
          <w:sz w:val="22"/>
          <w:szCs w:val="22"/>
        </w:rPr>
        <w:t xml:space="preserve"> i</w:t>
      </w:r>
      <w:r w:rsidR="006177E2">
        <w:rPr>
          <w:rFonts w:asciiTheme="majorHAnsi" w:hAnsiTheme="majorHAnsi" w:cstheme="majorHAnsi"/>
          <w:bCs/>
          <w:sz w:val="22"/>
          <w:szCs w:val="22"/>
        </w:rPr>
        <w:t>n facilities and this may be the most time consuming portion of the count in your community.</w:t>
      </w:r>
    </w:p>
    <w:p w14:paraId="68053041" w14:textId="77777777" w:rsidR="000D234B" w:rsidRPr="000F581D" w:rsidRDefault="000D234B" w:rsidP="000F581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A19123E" w14:textId="77777777" w:rsidR="000F581D" w:rsidRPr="000F581D" w:rsidRDefault="000F581D" w:rsidP="000F581D">
      <w:pPr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>Remember, rather than administering these surveys in one day, you can administer them over 2 weeks.</w:t>
      </w:r>
    </w:p>
    <w:p w14:paraId="1EDDAC31" w14:textId="2257339F" w:rsidR="000F581D" w:rsidRPr="000F581D" w:rsidRDefault="000F581D" w:rsidP="000F581D">
      <w:pPr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0F581D">
        <w:rPr>
          <w:rFonts w:asciiTheme="majorHAnsi" w:hAnsiTheme="majorHAnsi" w:cstheme="majorHAnsi"/>
          <w:sz w:val="22"/>
          <w:szCs w:val="22"/>
        </w:rPr>
        <w:t>Are outsiders allowed</w:t>
      </w:r>
      <w:proofErr w:type="gramEnd"/>
      <w:r w:rsidRPr="000F581D">
        <w:rPr>
          <w:rFonts w:asciiTheme="majorHAnsi" w:hAnsiTheme="majorHAnsi" w:cstheme="majorHAnsi"/>
          <w:sz w:val="22"/>
          <w:szCs w:val="22"/>
        </w:rPr>
        <w:t xml:space="preserve"> into your local shelters? Who will administer the surveys? Be sure to calculate how much time is truly required for this project. Allow for</w:t>
      </w:r>
      <w:r w:rsidR="00A00748">
        <w:rPr>
          <w:rFonts w:asciiTheme="majorHAnsi" w:hAnsiTheme="majorHAnsi" w:cstheme="majorHAnsi"/>
          <w:sz w:val="22"/>
          <w:szCs w:val="22"/>
        </w:rPr>
        <w:t xml:space="preserve"> </w:t>
      </w:r>
      <w:r w:rsidR="00B76683">
        <w:rPr>
          <w:rFonts w:asciiTheme="majorHAnsi" w:hAnsiTheme="majorHAnsi" w:cstheme="majorHAnsi"/>
          <w:sz w:val="22"/>
          <w:szCs w:val="22"/>
        </w:rPr>
        <w:t xml:space="preserve">approximately </w:t>
      </w:r>
      <w:r w:rsidR="00A011EA">
        <w:rPr>
          <w:rFonts w:asciiTheme="majorHAnsi" w:hAnsiTheme="majorHAnsi" w:cstheme="majorHAnsi"/>
          <w:sz w:val="22"/>
          <w:szCs w:val="22"/>
        </w:rPr>
        <w:t>15</w:t>
      </w:r>
      <w:r w:rsidRPr="000F581D">
        <w:rPr>
          <w:rFonts w:asciiTheme="majorHAnsi" w:hAnsiTheme="majorHAnsi" w:cstheme="majorHAnsi"/>
          <w:sz w:val="22"/>
          <w:szCs w:val="22"/>
        </w:rPr>
        <w:t xml:space="preserve"> minutes per survey.</w:t>
      </w:r>
    </w:p>
    <w:p w14:paraId="39239B35" w14:textId="651FA64D" w:rsidR="00954C09" w:rsidRDefault="000F581D" w:rsidP="00A00748">
      <w:pPr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0F581D">
        <w:rPr>
          <w:rFonts w:asciiTheme="majorHAnsi" w:hAnsiTheme="majorHAnsi" w:cstheme="majorHAnsi"/>
          <w:sz w:val="22"/>
          <w:szCs w:val="22"/>
        </w:rPr>
        <w:t xml:space="preserve">Are your count partners – shelter providers, </w:t>
      </w:r>
      <w:proofErr w:type="spellStart"/>
      <w:r w:rsidRPr="000F581D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Pr="000F581D">
        <w:rPr>
          <w:rFonts w:asciiTheme="majorHAnsi" w:hAnsiTheme="majorHAnsi" w:cstheme="majorHAnsi"/>
          <w:sz w:val="22"/>
          <w:szCs w:val="22"/>
        </w:rPr>
        <w:t xml:space="preserve"> – on board for administering surveys</w:t>
      </w:r>
      <w:r w:rsidR="00A00748">
        <w:rPr>
          <w:rFonts w:asciiTheme="majorHAnsi" w:hAnsiTheme="majorHAnsi" w:cstheme="majorHAnsi"/>
          <w:sz w:val="22"/>
          <w:szCs w:val="22"/>
        </w:rPr>
        <w:t xml:space="preserve"> if outsiders </w:t>
      </w:r>
      <w:proofErr w:type="gramStart"/>
      <w:r w:rsidR="00A00748">
        <w:rPr>
          <w:rFonts w:asciiTheme="majorHAnsi" w:hAnsiTheme="majorHAnsi" w:cstheme="majorHAnsi"/>
          <w:sz w:val="22"/>
          <w:szCs w:val="22"/>
        </w:rPr>
        <w:t>are not allowed</w:t>
      </w:r>
      <w:proofErr w:type="gramEnd"/>
      <w:r w:rsidR="00A00748">
        <w:rPr>
          <w:rFonts w:asciiTheme="majorHAnsi" w:hAnsiTheme="majorHAnsi" w:cstheme="majorHAnsi"/>
          <w:sz w:val="22"/>
          <w:szCs w:val="22"/>
        </w:rPr>
        <w:t xml:space="preserve"> in facilities</w:t>
      </w:r>
      <w:r w:rsidRPr="000F581D">
        <w:rPr>
          <w:rFonts w:asciiTheme="majorHAnsi" w:hAnsiTheme="majorHAnsi" w:cstheme="majorHAnsi"/>
          <w:sz w:val="22"/>
          <w:szCs w:val="22"/>
        </w:rPr>
        <w:t xml:space="preserve">? Partners may be strained, and </w:t>
      </w:r>
      <w:proofErr w:type="gramStart"/>
      <w:r w:rsidRPr="000F581D">
        <w:rPr>
          <w:rFonts w:asciiTheme="majorHAnsi" w:hAnsiTheme="majorHAnsi" w:cstheme="majorHAnsi"/>
          <w:sz w:val="22"/>
          <w:szCs w:val="22"/>
        </w:rPr>
        <w:t>the ask</w:t>
      </w:r>
      <w:proofErr w:type="gramEnd"/>
      <w:r w:rsidRPr="000F581D">
        <w:rPr>
          <w:rFonts w:asciiTheme="majorHAnsi" w:hAnsiTheme="majorHAnsi" w:cstheme="majorHAnsi"/>
          <w:sz w:val="22"/>
          <w:szCs w:val="22"/>
        </w:rPr>
        <w:t xml:space="preserve"> is bigger than usual (if their staff have to administer all the surveys), so their engagement</w:t>
      </w:r>
      <w:r w:rsidR="00A00748">
        <w:rPr>
          <w:rFonts w:asciiTheme="majorHAnsi" w:hAnsiTheme="majorHAnsi" w:cstheme="majorHAnsi"/>
          <w:sz w:val="22"/>
          <w:szCs w:val="22"/>
        </w:rPr>
        <w:t xml:space="preserve"> and buy-in</w:t>
      </w:r>
      <w:r w:rsidRPr="000F581D">
        <w:rPr>
          <w:rFonts w:asciiTheme="majorHAnsi" w:hAnsiTheme="majorHAnsi" w:cstheme="majorHAnsi"/>
          <w:sz w:val="22"/>
          <w:szCs w:val="22"/>
        </w:rPr>
        <w:t xml:space="preserve"> is more important than ever.</w:t>
      </w:r>
    </w:p>
    <w:p w14:paraId="0A3BBA22" w14:textId="2B90DC30" w:rsidR="00724C3F" w:rsidRDefault="00724C3F" w:rsidP="00724C3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F5BF002" w14:textId="77777777" w:rsidR="00724C3F" w:rsidRDefault="00724C3F" w:rsidP="00724C3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6061E11" w14:textId="4AB3671A" w:rsidR="00486FBD" w:rsidRPr="00A00748" w:rsidRDefault="00486FBD" w:rsidP="00486FBD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Each of these </w:t>
      </w:r>
      <w:proofErr w:type="gramStart"/>
      <w:r>
        <w:rPr>
          <w:rFonts w:asciiTheme="majorHAnsi" w:hAnsiTheme="majorHAnsi" w:cstheme="majorHAnsi"/>
          <w:sz w:val="22"/>
          <w:szCs w:val="22"/>
        </w:rPr>
        <w:t>4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core elements of your account should be considered independently and can be planned or postponed separately. The data that you collect this year will be</w:t>
      </w:r>
      <w:r w:rsidR="00E85580">
        <w:rPr>
          <w:rFonts w:asciiTheme="majorHAnsi" w:hAnsiTheme="majorHAnsi" w:cstheme="majorHAnsi"/>
          <w:sz w:val="22"/>
          <w:szCs w:val="22"/>
        </w:rPr>
        <w:t xml:space="preserve"> critical in updating your local and provincial/territorial understanding of homelessness, and</w:t>
      </w:r>
      <w:r>
        <w:rPr>
          <w:rFonts w:asciiTheme="majorHAnsi" w:hAnsiTheme="majorHAnsi" w:cstheme="majorHAnsi"/>
          <w:sz w:val="22"/>
          <w:szCs w:val="22"/>
        </w:rPr>
        <w:t xml:space="preserve"> crucial in updating the national picture on homelessness. </w:t>
      </w:r>
      <w:r w:rsidR="00E85580">
        <w:rPr>
          <w:rFonts w:asciiTheme="majorHAnsi" w:hAnsiTheme="majorHAnsi" w:cstheme="majorHAnsi"/>
          <w:sz w:val="22"/>
          <w:szCs w:val="22"/>
        </w:rPr>
        <w:t xml:space="preserve">These data </w:t>
      </w:r>
      <w:proofErr w:type="gramStart"/>
      <w:r>
        <w:rPr>
          <w:rFonts w:asciiTheme="majorHAnsi" w:hAnsiTheme="majorHAnsi" w:cstheme="majorHAnsi"/>
          <w:sz w:val="22"/>
          <w:szCs w:val="22"/>
        </w:rPr>
        <w:t>will be used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to inform policies going forward.</w:t>
      </w:r>
    </w:p>
    <w:sectPr w:rsidR="00486FBD" w:rsidRPr="00A00748" w:rsidSect="00683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A729" w14:textId="77777777" w:rsidR="00191A6A" w:rsidRDefault="00191A6A" w:rsidP="00472087">
      <w:r>
        <w:separator/>
      </w:r>
    </w:p>
  </w:endnote>
  <w:endnote w:type="continuationSeparator" w:id="0">
    <w:p w14:paraId="5F834E5A" w14:textId="77777777" w:rsidR="00191A6A" w:rsidRDefault="00191A6A" w:rsidP="004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F1AD" w14:textId="500263F2" w:rsidR="0068351F" w:rsidRDefault="0068351F" w:rsidP="006835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FE703C" w14:textId="77777777" w:rsidR="0068351F" w:rsidRDefault="0068351F" w:rsidP="006835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CA67" w14:textId="20E6A2DF" w:rsidR="0068351F" w:rsidRDefault="0068351F" w:rsidP="006835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E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29BB4C" w14:textId="77777777" w:rsidR="0068351F" w:rsidRDefault="0068351F" w:rsidP="0068351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06BF" w14:textId="67A04616" w:rsidR="0068351F" w:rsidRDefault="0068351F" w:rsidP="006835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E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CBE75" w14:textId="77777777" w:rsidR="0068351F" w:rsidRDefault="0068351F" w:rsidP="0068351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7F22" w14:textId="77777777" w:rsidR="00191A6A" w:rsidRDefault="00191A6A" w:rsidP="00472087">
      <w:r>
        <w:separator/>
      </w:r>
    </w:p>
  </w:footnote>
  <w:footnote w:type="continuationSeparator" w:id="0">
    <w:p w14:paraId="1EDF3B88" w14:textId="77777777" w:rsidR="00191A6A" w:rsidRDefault="00191A6A" w:rsidP="0047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F69A" w14:textId="77777777" w:rsidR="0068351F" w:rsidRPr="0068351F" w:rsidRDefault="0068351F" w:rsidP="0068351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19AF587C" wp14:editId="76E247B6">
          <wp:simplePos x="0" y="0"/>
          <wp:positionH relativeFrom="column">
            <wp:posOffset>-1257300</wp:posOffset>
          </wp:positionH>
          <wp:positionV relativeFrom="paragraph">
            <wp:posOffset>-564515</wp:posOffset>
          </wp:positionV>
          <wp:extent cx="8004048" cy="1029004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-Background other documents-odd 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048" cy="10290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D074" w14:textId="77777777" w:rsidR="0068351F" w:rsidRDefault="00A9350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1E619EF" wp14:editId="537DD9BD">
          <wp:simplePos x="0" y="0"/>
          <wp:positionH relativeFrom="column">
            <wp:posOffset>-1257300</wp:posOffset>
          </wp:positionH>
          <wp:positionV relativeFrom="paragraph">
            <wp:posOffset>-564515</wp:posOffset>
          </wp:positionV>
          <wp:extent cx="8004048" cy="10290048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-Background other documents-even 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048" cy="10290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222A" w14:textId="77777777" w:rsidR="0068351F" w:rsidRDefault="0068351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17016D" wp14:editId="739E7D4C">
          <wp:simplePos x="0" y="0"/>
          <wp:positionH relativeFrom="column">
            <wp:posOffset>-1255395</wp:posOffset>
          </wp:positionH>
          <wp:positionV relativeFrom="paragraph">
            <wp:posOffset>9633585</wp:posOffset>
          </wp:positionV>
          <wp:extent cx="8003540" cy="1028954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-Background other documents-other pag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289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239D07C" wp14:editId="1EFFF2E6">
          <wp:simplePos x="0" y="0"/>
          <wp:positionH relativeFrom="column">
            <wp:posOffset>-1257300</wp:posOffset>
          </wp:positionH>
          <wp:positionV relativeFrom="paragraph">
            <wp:posOffset>-564515</wp:posOffset>
          </wp:positionV>
          <wp:extent cx="8004048" cy="10290048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17-Background other document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048" cy="10290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B94"/>
    <w:multiLevelType w:val="hybridMultilevel"/>
    <w:tmpl w:val="56405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F13"/>
    <w:multiLevelType w:val="hybridMultilevel"/>
    <w:tmpl w:val="BD4453C2"/>
    <w:lvl w:ilvl="0" w:tplc="C99E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8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E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4B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E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1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231BD4"/>
    <w:multiLevelType w:val="hybridMultilevel"/>
    <w:tmpl w:val="7FE4D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3E3"/>
    <w:multiLevelType w:val="hybridMultilevel"/>
    <w:tmpl w:val="76D686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E257A"/>
    <w:multiLevelType w:val="hybridMultilevel"/>
    <w:tmpl w:val="D930C680"/>
    <w:lvl w:ilvl="0" w:tplc="CE4A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0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6E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2E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4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110FF"/>
    <w:multiLevelType w:val="hybridMultilevel"/>
    <w:tmpl w:val="57F8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5C7E"/>
    <w:multiLevelType w:val="hybridMultilevel"/>
    <w:tmpl w:val="3C90E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E6E"/>
    <w:multiLevelType w:val="hybridMultilevel"/>
    <w:tmpl w:val="0E76093A"/>
    <w:lvl w:ilvl="0" w:tplc="5AF2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A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8C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0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63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8C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2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2A74B9"/>
    <w:multiLevelType w:val="hybridMultilevel"/>
    <w:tmpl w:val="45846F0C"/>
    <w:lvl w:ilvl="0" w:tplc="ABBC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EC732">
      <w:start w:val="1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C6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EE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E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1836CF"/>
    <w:multiLevelType w:val="hybridMultilevel"/>
    <w:tmpl w:val="B4C45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CAB"/>
    <w:multiLevelType w:val="hybridMultilevel"/>
    <w:tmpl w:val="90CEA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4C0A"/>
    <w:multiLevelType w:val="hybridMultilevel"/>
    <w:tmpl w:val="CCB02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855"/>
    <w:multiLevelType w:val="hybridMultilevel"/>
    <w:tmpl w:val="7076C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7"/>
    <w:rsid w:val="000616DE"/>
    <w:rsid w:val="000D234B"/>
    <w:rsid w:val="000F581D"/>
    <w:rsid w:val="00114FDD"/>
    <w:rsid w:val="00191A6A"/>
    <w:rsid w:val="00242F26"/>
    <w:rsid w:val="003E051A"/>
    <w:rsid w:val="00435641"/>
    <w:rsid w:val="00472087"/>
    <w:rsid w:val="00486FBD"/>
    <w:rsid w:val="004D5B23"/>
    <w:rsid w:val="00566D11"/>
    <w:rsid w:val="00570A6B"/>
    <w:rsid w:val="005A43D0"/>
    <w:rsid w:val="006177E2"/>
    <w:rsid w:val="006220F4"/>
    <w:rsid w:val="0068351F"/>
    <w:rsid w:val="00724C3F"/>
    <w:rsid w:val="00733C2E"/>
    <w:rsid w:val="00782AF5"/>
    <w:rsid w:val="007D272C"/>
    <w:rsid w:val="0080458A"/>
    <w:rsid w:val="00847E9E"/>
    <w:rsid w:val="008F140A"/>
    <w:rsid w:val="00946AE1"/>
    <w:rsid w:val="00954C09"/>
    <w:rsid w:val="009E3EFC"/>
    <w:rsid w:val="00A00748"/>
    <w:rsid w:val="00A011EA"/>
    <w:rsid w:val="00A0779E"/>
    <w:rsid w:val="00A65C6E"/>
    <w:rsid w:val="00A806C7"/>
    <w:rsid w:val="00A93505"/>
    <w:rsid w:val="00AC2122"/>
    <w:rsid w:val="00B43694"/>
    <w:rsid w:val="00B76683"/>
    <w:rsid w:val="00BF49B5"/>
    <w:rsid w:val="00D46402"/>
    <w:rsid w:val="00D548A7"/>
    <w:rsid w:val="00E85580"/>
    <w:rsid w:val="00EE4CFC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4C0F55"/>
  <w14:defaultImageDpi w14:val="300"/>
  <w15:docId w15:val="{CF142E25-3408-4163-A6DA-FFCE127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E9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87"/>
  </w:style>
  <w:style w:type="paragraph" w:styleId="Footer">
    <w:name w:val="footer"/>
    <w:basedOn w:val="Normal"/>
    <w:link w:val="FooterChar"/>
    <w:uiPriority w:val="99"/>
    <w:unhideWhenUsed/>
    <w:rsid w:val="00472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87"/>
  </w:style>
  <w:style w:type="paragraph" w:styleId="BalloonText">
    <w:name w:val="Balloon Text"/>
    <w:basedOn w:val="Normal"/>
    <w:link w:val="BalloonTextChar"/>
    <w:uiPriority w:val="99"/>
    <w:semiHidden/>
    <w:unhideWhenUsed/>
    <w:rsid w:val="00472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351F"/>
  </w:style>
  <w:style w:type="character" w:customStyle="1" w:styleId="Heading1Char">
    <w:name w:val="Heading 1 Char"/>
    <w:basedOn w:val="DefaultParagraphFont"/>
    <w:link w:val="Heading1"/>
    <w:uiPriority w:val="9"/>
    <w:rsid w:val="00847E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847E9E"/>
    <w:pPr>
      <w:ind w:left="720"/>
      <w:contextualSpacing/>
      <w:jc w:val="both"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47E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7E9E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847E9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table" w:styleId="TableGrid">
    <w:name w:val="Table Grid"/>
    <w:basedOn w:val="TableNormal"/>
    <w:uiPriority w:val="59"/>
    <w:rsid w:val="0056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r@hrsdc-rhdcc.g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8AE1E-079B-4E6A-9DB4-A56B409F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Emploi et Développement social Canada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Monette</dc:creator>
  <cp:keywords/>
  <dc:description/>
  <cp:lastModifiedBy>Gravel, Emilie E [NC]</cp:lastModifiedBy>
  <cp:revision>5</cp:revision>
  <cp:lastPrinted>2019-10-22T17:48:00Z</cp:lastPrinted>
  <dcterms:created xsi:type="dcterms:W3CDTF">2021-03-10T20:42:00Z</dcterms:created>
  <dcterms:modified xsi:type="dcterms:W3CDTF">2021-03-16T14:53:00Z</dcterms:modified>
</cp:coreProperties>
</file>